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C4495D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AB0F2B">
                    <w:rPr>
                      <w:rFonts w:ascii="Times New Roman" w:eastAsia="Times New Roman" w:hAnsi="Times New Roman" w:cs="Times New Roman"/>
                      <w:lang w:eastAsia="ru-RU"/>
                    </w:rPr>
                    <w:t>№3</w:t>
                  </w:r>
                  <w:r w:rsidR="00C4495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83C12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="00AB0F2B">
                    <w:rPr>
                      <w:rFonts w:ascii="Times New Roman" w:eastAsia="Times New Roman" w:hAnsi="Times New Roman" w:cs="Times New Roman"/>
                      <w:lang w:eastAsia="ru-RU"/>
                    </w:rPr>
                    <w:t>онедельник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4495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DB08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4495D">
                    <w:rPr>
                      <w:rFonts w:ascii="Times New Roman" w:eastAsia="Times New Roman" w:hAnsi="Times New Roman" w:cs="Times New Roman"/>
                      <w:lang w:eastAsia="ru-RU"/>
                    </w:rPr>
                    <w:t>но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ября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года</w:t>
                  </w:r>
                </w:p>
                <w:p w:rsidR="00DB7A1E" w:rsidRDefault="00DB7A1E" w:rsidP="00C4495D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AF9" w:rsidRPr="00F23AF9" w:rsidRDefault="00F23AF9" w:rsidP="00F2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04825" cy="495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6A29BF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Администрация 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6A29BF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Апраксинского сельского поселения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6A29BF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Костромского муниципального района Костромской области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6A29BF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ПОСТАНОВЛЕНИЕ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A29B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от    «10» ноября  2022 г.                 № 87 </w:t>
      </w:r>
      <w:r w:rsidRPr="006A29B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  <w:t xml:space="preserve">                   </w:t>
      </w:r>
      <w:r w:rsidRPr="006A29B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  <w:t>п. Апраксино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A29B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Об утверждении основных направлений 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A29B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бюджетной и налоговой политики на 2023 год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A29B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и плановый период 2024 и 2025 годов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разработки проекта бюджета на 2023 год и плановый период 2024 и 2025 годов, в соответствии со статьей 172 Бюджетного кодекса Российской Федерации администрация  Апраксинского сельского поселения администрация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Утвердить основные направления налоговой и бюджетной политики Апраксинского сельского поселения на 2023 год и плановый период 2024 и 2025 годов.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Администрации Апраксинского сельского поселения осуществлять формирование доходов и расходов с учетом основных направлений бюджетной и налоговой политики на 2023 год и плановый период 2024 и 2025 годов.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3.Настоящее постановление подлежит официальному опубликованию в общественно-политической газете «Апраксинский вестник».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 </w:t>
      </w:r>
      <w:proofErr w:type="gramStart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Апраксинского 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 поселения </w:t>
      </w: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</w:t>
      </w: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proofErr w:type="spellStart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О.В.Глухарева</w:t>
      </w:r>
      <w:proofErr w:type="spellEnd"/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к постановлению  администрации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Апраксинского сельского поселения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Костромского муниципального района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Костромской области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от «10» ноября  2022 г № 87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бюджетной и налоговой политики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Апраксинского сельского поселения на 2023 год и плановый период 2024 и 2025 годов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1.Основные направления бюджетной и налоговой политики Апраксинского сельского поселения на 2023 год и плановый период 2024 и 2025 годов подготовлены в соответствии с требованиями статьи 172 Бюджетного кодекса Российской Федерации, Положением о бюджетном процессе в муниципальном образовании Апраксинское сельское поселение Костромского муниципального района Костромской области.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Бюджетная и налоговая политика Апраксинского сельского поселения является основой бюджетного планирования, обеспечения рационального и эффективного использования бюджетных средств.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бюджетной и налоговой политики определяют стратегию действий администрации Апраксинского сельского поселения в части доходов, расходов бюджета, межбюджетных отношений и являются базой для формирования бюджета Апраксинского сельского поселения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 бюджетной и налоговой политики на 2023 год и плановый период 2024 и 2025 годов.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Главными целями бюджетной и налоговой политики на 2023 год и плановый период 2024 и 2025 годов являются: обеспечение социальной и экономической стабильности, сбалансированности и устойчивости бюджета сельского поселения.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поставленных целей необходимо обеспечить</w:t>
      </w:r>
      <w:proofErr w:type="gramEnd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следующих задач: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создания условий для сохранения налогооблагаемой базы бюджета Апраксинского сельского поселения в сложившихся экономических условиях в целях обеспечения стабильного исполнения доходной части бюджета Апраксинского сельского поселения;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сдерживания роста расходов бюджета Апраксинского сельского поселения путем оптимизации расходных обязательств Апраксинского сельского поселения и повышения эффективности использования ограниченных финансовых ресурсов;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обеспечение реалистичности и гарантии исполнения принятых бюджетных обязательств;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внедрение современных принципов составления бюджета, ориентированных на результат, на основе дальнейшего развития;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нормативного финансирования расходов из бюджета на основе заданий на оказание бюджетными учреждениями муниципальных услуг физическим и юридическим лицам;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условий для повышения качества предоставления бюджетных услуг;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реализация принципов ответственной бюджетной политики в области расходов.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Основные направления бюджетной и налоговой политики</w:t>
      </w: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2023 год и плановый период 2024 и 2025 годов в области доходов бюджета Апраксинского сельского поселения.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Бюджетная и налоговая политика на 2023год и плановый период 2024 и 2025 годов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качества администрирования налоговых и неналоговых доходов бюджета Апраксинского сельского поселения;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  продолжение работы по сокращению задолженности по налогам и сборам перед бюджетом Апраксинского сельского поселения, предотвращению роста задолженности по заработной плате;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усиление проводимых в поселении мероприятий по регистрации объектов недвижимости с целью формирования актуальной налоговой базы;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 максимальное приближение прогнозов поступления доходов бюджета Апраксинского сельского поселения к реальной ситуации в экономике;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  постоянная работа над увеличением доходной части бюджета;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осуществление скоординированных действий исполнительной власти Апраксинского сельского поселения, территориальных федеральных и региональных органов, направленных на привлечение имеющихся резервов для максимальной мобилизации доходов в бюджет Апраксинского сельского поселения;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  оптимизация расходов бюджета.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Бюджетная политика в сфере межбюджетных отношений направлена на отстаивание интересов Апраксинского сельского поселения по сохранению доходной базы.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Основные направления бюджетной политики на 2023 год и плановый период 2024 и 2025 годов</w:t>
      </w: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области расходов Апраксинского сельского поселения.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отношении расходов бюджета Апраксинского сельского поселения бюджетная политика на 2023 год и плановый период 2024 и 2025 годов скорректирована </w:t>
      </w:r>
      <w:proofErr w:type="gramStart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сложившейся экономической ситуации и будет</w:t>
      </w:r>
      <w:proofErr w:type="gramEnd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направлена на оптимизацию и повышение эффективности расходов бюджета Апраксинского сельского поселения.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Главной задачей при формировании бюджета Апраксинского сельского поселения на 2023 год и плановый период 2024 и 2025 годов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 поставленных целей и задач необходимо осуществить действия по следующим направлениям: 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режима экономного и рационального использования средств бюджета Апраксинского сельского поселения: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сбалансированности расходных обязательств с доходными возможностями бюджета Апраксинского сельского поселения придется отказаться от необязательных в текущей ситуации затрат. При этом режим экономии бюджетных средств следует обеспечить не только за счет прямого сокращения неприоритетных расходов, но и за счет </w:t>
      </w:r>
      <w:proofErr w:type="gramStart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эффективности использования средств бюджета</w:t>
      </w:r>
      <w:proofErr w:type="gramEnd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Апраксинского сельского поселения, а также за счет концентрации бюджетных ресурсов на решении вопросов местного значения.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связи, с чем необходимо в короткий срок провести инвентаризацию расходных обязательств бюджета Апраксинского сельского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Следует обеспечить взвешенный подход к увеличению и принятию новых расходных обязательств бюджета Апраксинского сельского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Апраксинского сельского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качества оказания муниципальных услуг (выполнения работ):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режим экономии средств бюджета Апраксинского сельского поселения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 современных методов предоставления муниципальных услуг (выполнения работ) на основе муниципальных заданий.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эффективности в зданиях муниципальных бюджетных учреждений.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эффективности использования ресурсов при закупках товаров и услуг для муниципальных нужд: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социальной сферы бюджетная политика будет направлена на повышение эффективности бюджетных расходов и рационального использования бюджетных средств.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Бюджетная политика в области финансирования дорожного хозяйства ориентирована на повышение эффективности и результативности бюджетных расходов, направляемых на ремонт и содержание автодорог и на базе имеющихся финансовых ресурсов на достижение максимально-возможного результата.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обеспечения безопасности дорожного движения, повышения доступности транспортных услуг необходимо осуществлять комплекс мероприятий по обеспечению функционирования эффективной системы содержания и ремонта дорог, основанной на оптимальном расходовании выделенных средств и материально-технических ресурсов.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вопросами по благоустройству территории поселения планируются: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-организация уличного освещения;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сбора и вывоза бытовых отходов и мусора;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благоустройства населенных пунктов.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области муниципального управления работа будет направлена </w:t>
      </w:r>
      <w:proofErr w:type="gramStart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внедрение принципов и процедур по результатам;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разработку и внедрение стандартов муниципальных услуг, предоставляемых органами местного самоуправления поселения, а также внедрение административных регламентов;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реализацию механизмов противодействия коррупции;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эффективности и прозрачности деятельности органов местного самоуправления поселения;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повышение ответственности органов местного самоуправления </w:t>
      </w:r>
      <w:proofErr w:type="gramStart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proofErr w:type="gramEnd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выполнение возложенных на них функций.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 целях </w:t>
      </w:r>
      <w:proofErr w:type="gramStart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эффективности использования объектов муниципальной собственности поселения</w:t>
      </w:r>
      <w:proofErr w:type="gramEnd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завершить работу по разграничению имущества, находящегося в муниципальной собственности поселения.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Продолжить работу по инвентаризации и оптимизации состава имущества казны поселения, повысить эффективность использования объектов муниципальной собственности.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приватизацию муниципального имущества.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Совершенствование управления исполнением бюджета Апраксинского сельского поселения.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 исполнением бюджета Апраксинского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ритмичности исполнения бюджета Апраксинского 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 В частности, главный распорядитель средств бюджета Апраксинского сельского поселения при исполнении бюджета должен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Апраксинского сельского поселения. Необходимо более ответственно подходить и к принятию бюджетных обязательств.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нельзя допустить, чтобы бюджетные учреждения служили источником неплатежей. В связи, с чем следует обеспечить своевременность и полноту выплаты заработной платы работникам муниципальных бюджетных учреждений и оплаты ими коммунальных услуг, а также осуществлять </w:t>
      </w:r>
      <w:proofErr w:type="gramStart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состоянием кредиторской задолженности по этим обязательствам. Особое внимание должно быть уделено </w:t>
      </w:r>
      <w:proofErr w:type="gramStart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контролю за</w:t>
      </w:r>
      <w:proofErr w:type="gramEnd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обоснованностью расчетов по оплате коммунальных услуг за счет средств бюджета Апраксинского сельского поселения.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5. Основные направления политики в области отношений с вышестоящими бюджетами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в области межбюджетных отношений в 2023 году и плановом периоде 2024 и 2025 годов должно стать укрепление финансовой самостоятельности и стабилизации доходной базы бюджета поселения.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межбюджетных отношений с Костромским муниципальным районом необходимо обратить особое внимание </w:t>
      </w:r>
      <w:proofErr w:type="gramStart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проблемы чёткого разграничения полномочий между органами местного самоуправления Костромского муниципального района и Апраксинского сельского поселения;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разработку отлаженного механизма передачи межбюджетных трансфертов из бюджета Апраксинского сельского поселения;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- чёткое соблюдение требований и принципов бюджетного законодательства в части межбюджетных трансфертов.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B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поставленных задач бюджетной и налоговой политики позволит обеспечить стабильный бюджетный процесс,  повышение уровня жизни населения.</w:t>
      </w:r>
    </w:p>
    <w:p w:rsidR="006A29BF" w:rsidRPr="006A29BF" w:rsidRDefault="006A29BF" w:rsidP="006A29B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1EA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112C6" w:rsidRPr="00DB7A1E" w:rsidRDefault="007112C6" w:rsidP="007112C6">
      <w:pPr>
        <w:widowControl w:val="0"/>
        <w:tabs>
          <w:tab w:val="left" w:pos="698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C1" w:rsidRDefault="00C11AC1">
      <w:pPr>
        <w:spacing w:after="0" w:line="240" w:lineRule="auto"/>
      </w:pPr>
      <w:r>
        <w:separator/>
      </w:r>
    </w:p>
  </w:endnote>
  <w:endnote w:type="continuationSeparator" w:id="0">
    <w:p w:rsidR="00C11AC1" w:rsidRDefault="00C1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C1" w:rsidRDefault="00C11AC1">
      <w:pPr>
        <w:spacing w:after="0" w:line="240" w:lineRule="auto"/>
      </w:pPr>
      <w:r>
        <w:separator/>
      </w:r>
    </w:p>
  </w:footnote>
  <w:footnote w:type="continuationSeparator" w:id="0">
    <w:p w:rsidR="00C11AC1" w:rsidRDefault="00C1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042CBB">
      <w:rPr>
        <w:rStyle w:val="af0"/>
        <w:noProof/>
      </w:rPr>
      <w:t>6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7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4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25"/>
  </w:num>
  <w:num w:numId="6">
    <w:abstractNumId w:val="22"/>
  </w:num>
  <w:num w:numId="7">
    <w:abstractNumId w:val="15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8"/>
  </w:num>
  <w:num w:numId="21">
    <w:abstractNumId w:val="20"/>
  </w:num>
  <w:num w:numId="22">
    <w:abstractNumId w:val="17"/>
  </w:num>
  <w:num w:numId="23">
    <w:abstractNumId w:val="19"/>
  </w:num>
  <w:num w:numId="24">
    <w:abstractNumId w:val="24"/>
  </w:num>
  <w:num w:numId="25">
    <w:abstractNumId w:val="1"/>
  </w:num>
  <w:num w:numId="26">
    <w:abstractNumId w:val="5"/>
  </w:num>
  <w:num w:numId="27">
    <w:abstractNumId w:val="12"/>
  </w:num>
  <w:num w:numId="28">
    <w:abstractNumId w:val="18"/>
  </w:num>
  <w:num w:numId="29">
    <w:abstractNumId w:val="6"/>
  </w:num>
  <w:num w:numId="30">
    <w:abstractNumId w:val="23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24B1"/>
    <w:rsid w:val="000754B7"/>
    <w:rsid w:val="000868EF"/>
    <w:rsid w:val="00093D41"/>
    <w:rsid w:val="000D502C"/>
    <w:rsid w:val="00103F37"/>
    <w:rsid w:val="00146368"/>
    <w:rsid w:val="001476F3"/>
    <w:rsid w:val="00162615"/>
    <w:rsid w:val="00162708"/>
    <w:rsid w:val="001D4A7D"/>
    <w:rsid w:val="002003BB"/>
    <w:rsid w:val="002137E5"/>
    <w:rsid w:val="00224CE8"/>
    <w:rsid w:val="00262FAB"/>
    <w:rsid w:val="00284E55"/>
    <w:rsid w:val="00285336"/>
    <w:rsid w:val="002C6444"/>
    <w:rsid w:val="002E5DD5"/>
    <w:rsid w:val="002F20C2"/>
    <w:rsid w:val="002F2CFF"/>
    <w:rsid w:val="002F527D"/>
    <w:rsid w:val="00312855"/>
    <w:rsid w:val="00393EE8"/>
    <w:rsid w:val="003B2F96"/>
    <w:rsid w:val="003C2DE2"/>
    <w:rsid w:val="003F3555"/>
    <w:rsid w:val="00457630"/>
    <w:rsid w:val="004624CE"/>
    <w:rsid w:val="004665C9"/>
    <w:rsid w:val="00472961"/>
    <w:rsid w:val="00522480"/>
    <w:rsid w:val="005A2A24"/>
    <w:rsid w:val="005F3A83"/>
    <w:rsid w:val="006004EA"/>
    <w:rsid w:val="00600ED1"/>
    <w:rsid w:val="00634868"/>
    <w:rsid w:val="006420A1"/>
    <w:rsid w:val="00643EA1"/>
    <w:rsid w:val="00661FD3"/>
    <w:rsid w:val="006A0083"/>
    <w:rsid w:val="006A29BF"/>
    <w:rsid w:val="006C1BF8"/>
    <w:rsid w:val="006D5780"/>
    <w:rsid w:val="006F29D9"/>
    <w:rsid w:val="00705265"/>
    <w:rsid w:val="007112C6"/>
    <w:rsid w:val="007143BD"/>
    <w:rsid w:val="007266E4"/>
    <w:rsid w:val="00730CCE"/>
    <w:rsid w:val="007629B5"/>
    <w:rsid w:val="00775E23"/>
    <w:rsid w:val="007F40B8"/>
    <w:rsid w:val="00866FBB"/>
    <w:rsid w:val="00877AA4"/>
    <w:rsid w:val="008819D4"/>
    <w:rsid w:val="008D1700"/>
    <w:rsid w:val="00901130"/>
    <w:rsid w:val="00911BA0"/>
    <w:rsid w:val="00946B0E"/>
    <w:rsid w:val="009623D8"/>
    <w:rsid w:val="00976F1B"/>
    <w:rsid w:val="00982027"/>
    <w:rsid w:val="00992BD8"/>
    <w:rsid w:val="009A34AB"/>
    <w:rsid w:val="009D296F"/>
    <w:rsid w:val="009E758C"/>
    <w:rsid w:val="00AA3539"/>
    <w:rsid w:val="00AB0F2B"/>
    <w:rsid w:val="00AB11EA"/>
    <w:rsid w:val="00AB444A"/>
    <w:rsid w:val="00B13C74"/>
    <w:rsid w:val="00B254D6"/>
    <w:rsid w:val="00B30769"/>
    <w:rsid w:val="00B5728A"/>
    <w:rsid w:val="00BA7208"/>
    <w:rsid w:val="00BC48A2"/>
    <w:rsid w:val="00C11AC1"/>
    <w:rsid w:val="00C13C24"/>
    <w:rsid w:val="00C14782"/>
    <w:rsid w:val="00C328C3"/>
    <w:rsid w:val="00C4495D"/>
    <w:rsid w:val="00C52BF0"/>
    <w:rsid w:val="00C83C12"/>
    <w:rsid w:val="00C85CD6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F1D92"/>
    <w:rsid w:val="00E53D1C"/>
    <w:rsid w:val="00E90742"/>
    <w:rsid w:val="00E9638C"/>
    <w:rsid w:val="00EC048A"/>
    <w:rsid w:val="00F01D1D"/>
    <w:rsid w:val="00F15970"/>
    <w:rsid w:val="00F22E38"/>
    <w:rsid w:val="00F23AF9"/>
    <w:rsid w:val="00F53B9D"/>
    <w:rsid w:val="00F807F7"/>
    <w:rsid w:val="00FB75AC"/>
    <w:rsid w:val="00FC6783"/>
    <w:rsid w:val="00FE6326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uiPriority w:val="99"/>
    <w:semiHidden/>
    <w:unhideWhenUsed/>
    <w:rsid w:val="00DF1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97</cp:revision>
  <cp:lastPrinted>2022-05-06T09:46:00Z</cp:lastPrinted>
  <dcterms:created xsi:type="dcterms:W3CDTF">2019-02-05T10:30:00Z</dcterms:created>
  <dcterms:modified xsi:type="dcterms:W3CDTF">2022-11-16T10:56:00Z</dcterms:modified>
</cp:coreProperties>
</file>