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FA2FC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июл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FA2FC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1C7" w:rsidRPr="008B21C7" w:rsidRDefault="008B21C7" w:rsidP="008B21C7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noProof/>
          <w:spacing w:val="20"/>
          <w:kern w:val="1"/>
          <w:sz w:val="28"/>
          <w:szCs w:val="28"/>
          <w:lang w:eastAsia="ru-RU"/>
        </w:rPr>
        <w:drawing>
          <wp:inline distT="0" distB="0" distL="0" distR="0">
            <wp:extent cx="4381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1C7" w:rsidRPr="008B21C7" w:rsidRDefault="008B21C7" w:rsidP="008B21C7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АДМИНИСТРАЦИЯ АПРАКСИНСКОГО СЕЛЬСКОГО ПОСЕЛЕНИЯ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КОСТРОМСКОГО МУНИЦИПАЛЬНОГО РАЙОНА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КОСТРОМСКОЙ ОБЛАСТИ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3060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ПОСТАНОВЛЕНИЕ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от 01 июля 2024 года № 81 п. Апраксино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</w:pPr>
      <w:r w:rsidRPr="008B21C7">
        <w:rPr>
          <w:rFonts w:ascii="Arial" w:eastAsia="Arial" w:hAnsi="Arial" w:cs="Arial"/>
          <w:b/>
          <w:caps/>
          <w:kern w:val="32"/>
          <w:sz w:val="28"/>
          <w:szCs w:val="28"/>
        </w:rPr>
        <w:t xml:space="preserve">О внесении изменений в постановление администрации Апраксинского сельского поселения костромского муниципального района костромской области от 02.12.2020 № 73 «О Порядке использования бюджетных ассигнований резервного фонда администрации </w:t>
      </w:r>
      <w:r w:rsidRPr="008B21C7"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  <w:t xml:space="preserve">Апраксинского </w:t>
      </w:r>
      <w:r w:rsidRPr="008B21C7">
        <w:rPr>
          <w:rFonts w:ascii="Arial" w:eastAsia="Arial" w:hAnsi="Arial" w:cs="Arial"/>
          <w:b/>
          <w:caps/>
          <w:kern w:val="32"/>
          <w:sz w:val="28"/>
          <w:szCs w:val="28"/>
        </w:rPr>
        <w:t>сельского поселения Костромского муниципального района</w:t>
      </w:r>
      <w:r w:rsidRPr="008B21C7"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  <w:t xml:space="preserve"> Костромской области»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Рассмотрев экспертное заключение № </w:t>
      </w:r>
      <w:r w:rsidRPr="008B21C7">
        <w:rPr>
          <w:rFonts w:ascii="Arial" w:eastAsia="Times New Roman" w:hAnsi="Arial" w:cs="Arial"/>
          <w:sz w:val="28"/>
          <w:szCs w:val="28"/>
          <w:lang w:eastAsia="ru-RU"/>
        </w:rPr>
        <w:t>29739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правового управления администрации Костромской области на постановление администрации Апраксинского сельского поселения Костромского 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lastRenderedPageBreak/>
        <w:t>муниципального района Костромской области от 02.12.2020 № 73 «О порядке использования бюджетных ассигнований резервного фонда администрации Апраксинского сельского поселения Костромского муниципального района Костромской области», в целях приведения нормативного правового акта в  соответствие со статьей 81 Бюджетного кодекса Российской Федерации, администрация Апраксинского сельского поселения Костромского муниципального района Костромской области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ПОСТАНОВЛЯЕТ: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1. Внести в Порядок использования бюджетных ассигнований резервного фонда администрации Апраксинского сельского поселения Костромского муниципального района Костромской области, утвержденный постановлением администрации Апраксинского сельского поселения Костромского муниципального района Костромской области от </w:t>
      </w:r>
      <w:r w:rsidRPr="008B21C7">
        <w:rPr>
          <w:rFonts w:ascii="Arial" w:eastAsia="Times New Roman" w:hAnsi="Arial" w:cs="Arial"/>
          <w:sz w:val="28"/>
          <w:szCs w:val="28"/>
          <w:lang w:eastAsia="ru-RU"/>
        </w:rPr>
        <w:t>02.12.2020 года № 73 (далее – Порядок) следующие изменения: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1.1. Пункт 3 Порядка изложить в новой редакции следующего содержания: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8"/>
          <w:szCs w:val="28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«3. Размер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 xml:space="preserve"> резервного фонда устанавливается решением Совета депутатов Апраксинского сельского поселения Костромского муниципального района Костромской области о бюджете Апраксинского сельского поселения</w:t>
      </w:r>
      <w:proofErr w:type="gramStart"/>
      <w:r w:rsidRPr="008B21C7">
        <w:rPr>
          <w:rFonts w:ascii="Arial" w:eastAsia="Times New Roman" w:hAnsi="Arial" w:cs="Arial"/>
          <w:kern w:val="1"/>
          <w:sz w:val="28"/>
          <w:szCs w:val="28"/>
        </w:rPr>
        <w:t>.».</w:t>
      </w:r>
      <w:proofErr w:type="gramEnd"/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z w:val="28"/>
          <w:szCs w:val="28"/>
          <w:lang w:eastAsia="ru-RU"/>
        </w:rPr>
        <w:t xml:space="preserve">1.2. 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Пункт 12 Порядка изложить в новой редакции следующего содержания: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kern w:val="1"/>
          <w:sz w:val="28"/>
          <w:szCs w:val="28"/>
        </w:rPr>
        <w:t xml:space="preserve">«12. 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Расходы, произведенные за счет бюджетных ассигнований резервного фонда, отражаются в отчете об исполнении бюджета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 сельского поселения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по соответствующим кодам бюджетной классификации.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сельского поселения</w:t>
      </w:r>
      <w:proofErr w:type="gramStart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>.».</w:t>
      </w:r>
      <w:proofErr w:type="gramEnd"/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2. Настоящее постановление подлежит опубликованию в общественно-политической газете «Апраксинский вестник» и размещению на официальном сайте администрации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сельского поселения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4. </w:t>
      </w:r>
      <w:proofErr w:type="gramStart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>Контроль за</w:t>
      </w:r>
      <w:proofErr w:type="gramEnd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Глава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Апраксинского сельского поселения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lastRenderedPageBreak/>
        <w:t>Костромского муниципального района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Костромской области                                                                  О.В. Глухарева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/>
          <w:bCs/>
          <w:kern w:val="1"/>
          <w:sz w:val="28"/>
          <w:szCs w:val="28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26720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АПРАКСИНСКОГО СЕЛЬСКОГО ПОСЕЛЕНИЯ</w:t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КОСТРОМСКОГО МУНИЦИПАЛЬНОГО РАЙОНА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КОСТРОМСКОЙ ОБЛАСТИ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D625C8">
        <w:rPr>
          <w:rFonts w:ascii="Arial" w:eastAsia="Calibri" w:hAnsi="Arial" w:cs="Arial"/>
          <w:b/>
          <w:sz w:val="32"/>
          <w:szCs w:val="32"/>
        </w:rPr>
        <w:t>РЕШЕНИЕ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D625C8">
        <w:rPr>
          <w:rFonts w:ascii="Arial" w:eastAsia="Calibri" w:hAnsi="Arial" w:cs="Arial"/>
          <w:b/>
          <w:sz w:val="32"/>
          <w:szCs w:val="32"/>
        </w:rPr>
        <w:t>от 02 июля 2024 года №27 п. Апраксино</w:t>
      </w:r>
    </w:p>
    <w:p w:rsidR="00D625C8" w:rsidRPr="00D625C8" w:rsidRDefault="00D625C8" w:rsidP="00D625C8">
      <w:pPr>
        <w:spacing w:after="0" w:line="240" w:lineRule="auto"/>
        <w:contextualSpacing/>
        <w:rPr>
          <w:rFonts w:ascii="Arial" w:eastAsia="Calibri" w:hAnsi="Arial" w:cs="Arial"/>
          <w:sz w:val="32"/>
          <w:szCs w:val="32"/>
        </w:rPr>
      </w:pP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  <w:r w:rsidRPr="00D625C8">
        <w:rPr>
          <w:rFonts w:ascii="Arial" w:eastAsia="Calibri" w:hAnsi="Arial" w:cs="Arial"/>
          <w:b/>
          <w:caps/>
          <w:sz w:val="32"/>
          <w:szCs w:val="32"/>
        </w:rPr>
        <w:t>О принятии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D625C8">
        <w:rPr>
          <w:rFonts w:ascii="Arial" w:eastAsia="Calibri" w:hAnsi="Arial" w:cs="Arial"/>
          <w:sz w:val="28"/>
          <w:szCs w:val="28"/>
        </w:rPr>
        <w:t>В целях приведения Устава муниципального образования Апраксинское сельское поселение Костромского муниципального района Костромской области, принятого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муниципального правового акта от 15 мая 2019 года № 9, 15.06.2020 № 10, 11.01.2021 №1, 27.08.2021 № 28, 27.05.2022 №26.</w:t>
      </w:r>
      <w:r w:rsidRPr="00D625C8">
        <w:rPr>
          <w:rFonts w:ascii="Calibri" w:eastAsia="Calibri" w:hAnsi="Calibri" w:cs="Times New Roman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, 31.08.2023 № 30, от 10.01.2024 №1).</w:t>
      </w:r>
      <w:proofErr w:type="gramEnd"/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В соответствии с федеральным и региональным законодательством, руководствуясь статьей 44 Федерального закона от 06.10.2003 </w:t>
      </w:r>
      <w:r w:rsidRPr="00D625C8">
        <w:rPr>
          <w:rFonts w:ascii="Arial" w:eastAsia="Calibri" w:hAnsi="Arial" w:cs="Arial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Совет депутатов Апраксинского </w:t>
      </w:r>
      <w:r w:rsidRPr="00D625C8">
        <w:rPr>
          <w:rFonts w:ascii="Arial" w:eastAsia="Times New Roman" w:hAnsi="Arial" w:cs="Arial"/>
          <w:bCs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sz w:val="28"/>
          <w:szCs w:val="28"/>
        </w:rPr>
        <w:t xml:space="preserve"> 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D625C8">
        <w:rPr>
          <w:rFonts w:ascii="Arial" w:eastAsia="Calibri" w:hAnsi="Arial" w:cs="Arial"/>
          <w:b/>
          <w:sz w:val="28"/>
          <w:szCs w:val="28"/>
        </w:rPr>
        <w:lastRenderedPageBreak/>
        <w:t>РЕШИЛ: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1. Принять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области.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2. </w:t>
      </w:r>
      <w:proofErr w:type="gramStart"/>
      <w:r w:rsidRPr="00D625C8">
        <w:rPr>
          <w:rFonts w:ascii="Arial" w:eastAsia="Calibri" w:hAnsi="Arial" w:cs="Arial"/>
          <w:sz w:val="28"/>
          <w:szCs w:val="28"/>
        </w:rPr>
        <w:t xml:space="preserve">Направить главе </w:t>
      </w:r>
      <w:r w:rsidRPr="00D625C8">
        <w:rPr>
          <w:rFonts w:ascii="Arial" w:eastAsia="Calibri" w:hAnsi="Arial" w:cs="Arial"/>
          <w:bCs/>
          <w:sz w:val="28"/>
          <w:szCs w:val="28"/>
        </w:rPr>
        <w:t xml:space="preserve">Апраксинского </w:t>
      </w:r>
      <w:r w:rsidRPr="00D625C8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для подписания и представления в Управление Министерства юстиции Российской Федерации по Костромской области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на государственную регистрацию в порядке, установленном Федеральным законом от 21.07.2005 № 97-ФЗ «О государственной регистрации уставов муниципальных образований».</w:t>
      </w:r>
      <w:proofErr w:type="gramEnd"/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3. </w:t>
      </w:r>
      <w:proofErr w:type="gramStart"/>
      <w:r w:rsidRPr="00D625C8">
        <w:rPr>
          <w:rFonts w:ascii="Arial" w:eastAsia="Calibri" w:hAnsi="Arial" w:cs="Arial"/>
          <w:sz w:val="28"/>
          <w:szCs w:val="28"/>
        </w:rPr>
        <w:t>Рекомендовать главе Апраксинского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опубликовать (обнародовать) зарегистрированный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в течение семи дней со дня поступления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 из Управления Министерства юстиции</w:t>
      </w:r>
      <w:proofErr w:type="gramEnd"/>
      <w:r w:rsidRPr="00D625C8">
        <w:rPr>
          <w:rFonts w:ascii="Arial" w:eastAsia="Calibri" w:hAnsi="Arial" w:cs="Arial"/>
          <w:sz w:val="28"/>
          <w:szCs w:val="28"/>
        </w:rPr>
        <w:t xml:space="preserve"> Российской Федерации по Костромской области.</w:t>
      </w: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Председатель Совета депутатов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Апраксинского сельского поселения 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Костромского муниципального района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Костромской области                                                                     О.В. Глухарева</w:t>
      </w: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4B1905" w:rsidRPr="004B1905" w:rsidRDefault="004B1905" w:rsidP="004B1905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Принят</w:t>
      </w:r>
      <w:proofErr w:type="gramEnd"/>
    </w:p>
    <w:p w:rsidR="004B1905" w:rsidRPr="004B1905" w:rsidRDefault="004B1905" w:rsidP="004B1905">
      <w:pPr>
        <w:widowControl w:val="0"/>
        <w:tabs>
          <w:tab w:val="left" w:pos="5954"/>
        </w:tabs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решением Совета депутатов </w:t>
      </w:r>
      <w:proofErr w:type="spellStart"/>
      <w:r w:rsidRPr="004B1905">
        <w:rPr>
          <w:rFonts w:ascii="Times New Roman" w:eastAsia="Calibri" w:hAnsi="Times New Roman" w:cs="Times New Roman"/>
          <w:sz w:val="26"/>
          <w:szCs w:val="26"/>
        </w:rPr>
        <w:t>Араксинского</w:t>
      </w:r>
      <w:proofErr w:type="spellEnd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Костромского муниципального района Костромской области</w:t>
      </w:r>
    </w:p>
    <w:p w:rsidR="004B1905" w:rsidRPr="004B1905" w:rsidRDefault="004B1905" w:rsidP="004B1905">
      <w:pPr>
        <w:widowControl w:val="0"/>
        <w:tabs>
          <w:tab w:val="left" w:pos="567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от   « </w:t>
      </w:r>
      <w:r w:rsidR="00FA2FC7">
        <w:rPr>
          <w:rFonts w:ascii="Times New Roman" w:eastAsia="Calibri" w:hAnsi="Times New Roman" w:cs="Times New Roman"/>
          <w:sz w:val="26"/>
          <w:szCs w:val="26"/>
        </w:rPr>
        <w:t>02</w:t>
      </w:r>
      <w:r w:rsidRPr="004B1905">
        <w:rPr>
          <w:rFonts w:ascii="Times New Roman" w:eastAsia="Calibri" w:hAnsi="Times New Roman" w:cs="Times New Roman"/>
          <w:sz w:val="26"/>
          <w:szCs w:val="26"/>
        </w:rPr>
        <w:t>»</w:t>
      </w:r>
      <w:r w:rsidR="00FA2FC7">
        <w:rPr>
          <w:rFonts w:ascii="Times New Roman" w:eastAsia="Calibri" w:hAnsi="Times New Roman" w:cs="Times New Roman"/>
          <w:sz w:val="26"/>
          <w:szCs w:val="26"/>
        </w:rPr>
        <w:t xml:space="preserve"> июля</w:t>
      </w:r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2024 года №  </w:t>
      </w:r>
      <w:r w:rsidR="00FA2FC7">
        <w:rPr>
          <w:rFonts w:ascii="Times New Roman" w:eastAsia="Calibri" w:hAnsi="Times New Roman" w:cs="Times New Roman"/>
          <w:sz w:val="26"/>
          <w:szCs w:val="26"/>
        </w:rPr>
        <w:t>27</w:t>
      </w:r>
      <w:bookmarkStart w:id="0" w:name="_GoBack"/>
      <w:bookmarkEnd w:id="0"/>
    </w:p>
    <w:p w:rsidR="004B1905" w:rsidRPr="004B1905" w:rsidRDefault="004B1905" w:rsidP="004B190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B1905" w:rsidRPr="004B1905" w:rsidRDefault="004B1905" w:rsidP="004B190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190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4B1905" w:rsidRPr="004B1905" w:rsidRDefault="004B1905" w:rsidP="004B1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1905" w:rsidRPr="004B1905" w:rsidRDefault="004B1905" w:rsidP="004B1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1905">
        <w:rPr>
          <w:rFonts w:ascii="Times New Roman" w:eastAsia="Calibri" w:hAnsi="Times New Roman" w:cs="Times New Roman"/>
          <w:b/>
          <w:sz w:val="26"/>
          <w:szCs w:val="26"/>
        </w:rPr>
        <w:t>Статья 1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Апраксинское сельское поселение Костромского муниципального района Костромской области, принятый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муниципальных правовых актов от 15.05.2019 № 9, от 15.06.2020 № 10, от 11.01.2021 № 1, от 27.08.2021 № 28, </w:t>
      </w:r>
      <w:r w:rsidRPr="004B1905">
        <w:rPr>
          <w:rFonts w:ascii="Times New Roman" w:eastAsia="Calibri" w:hAnsi="Times New Roman" w:cs="Times New Roman"/>
          <w:sz w:val="26"/>
          <w:szCs w:val="26"/>
        </w:rPr>
        <w:br/>
        <w:t>от 27.05.2022 № 26, от 31.07.2023 № 30, от 10.01.2024 №1) следующие изменения:</w:t>
      </w:r>
      <w:proofErr w:type="gramEnd"/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1. пункт 22 части 1 статьи 7 изложить в следующей редакции: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2. пункт 9 части 1 статьи 9 изложить в следующей редакции: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3. в абзаце втором части 5 статьи 25 слова «пунктами 1 – 7» заменить словами «пунктами 1 - 7 и 9.2»;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4. в статье 34: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а) часть 1 дополнить пунктом 10.1 следующего содержания: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«10.1) приобретения им статуса иностранного агента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;»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б) в абзаце первом части 3 слова «пунктами 1, 6, 7 и 10» заменить словами «пунктами 1, 6, 7, 10 и 10.1»;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5. в части 3 статьи 39 слова «за исключением лиц, полномочия которых были прекращены досрочно по основаниям, предусмотренным пунктами 6 и 7 части 1 статьи 30, пунктами 5-8 части 1, частями 2 и 4 статьи 34, пунктами 3, 4, 7-10 части 1, частями 2 и 6 статьи 37 настоящего Устава» заменить словами «за исключением лиц, полномочия которых были прекращены досрочно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основаниям, предусмотренным пунктами 6 и 7 части 1 статьи 30, пунктами 5-8, 10.1 части 1, частями 2, 3.1 и 4 статьи 34, пунктами 3, 4, 7-10 части 1, частями 2 и 6 статьи 37 настоящего Устава».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6. статью 57 изложить в следующей редакции: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«Статья 57. Вступление в силу и обнародование муниципальных правовых актов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Официальным опубликованием муниципальных правовых актов,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Апраксинский вестник, учрежденный Советом депутатов сельского поселения.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Для официального опубликования направляется заверенная копия муниципального правового акта.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3. В случае официального опубликования муниципального нормативного правового акта, в том числе соглашения, заключенного между органами местного самоуправления, в (указывается вид печатного издания), его полный текст подлежит размещению на официальном сайте сельского поселения: https://apraksinoadm.ru/.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4. Муниципальный нормативный правовой акт дополнительно обнародуется посредством его размещения на информационных стендах, в библиотеках сельского поселения, в здании администрации сельского поселения.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 муниципального правового акта хранится в администрации сельского поселения, копия передается в библиотеки сельского поселения, которые обеспечивают гражданам возможность ознакомления с муниципальным правовым актом без взимания платы.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5. Обнародование муниципальных правовых актов органов местного самоуправления проводится не позднее чем через 10 дней со дня принятия (издания) муниципального правового акта, если иное не предусмотрено федеральным законодательством и законодательством Костромской области, правовыми актами органов местного самоуправления, самим муниципальным правовым актом.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Обнародование соглашений, заключаемых между органами местного самоуправления, проводится не позднее чем через 10 дней со дня их подписания, если иное не предусмотрено самим соглашением.</w:t>
      </w: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6. Не подлежат официальному обнародованию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  <w:lang w:eastAsia="ru-RU"/>
        </w:rPr>
        <w:t>.».</w:t>
      </w:r>
      <w:proofErr w:type="gramEnd"/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1905" w:rsidRPr="004B1905" w:rsidRDefault="004B1905" w:rsidP="004B1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1905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Статья 2 </w:t>
      </w:r>
    </w:p>
    <w:p w:rsidR="004B1905" w:rsidRPr="004B1905" w:rsidRDefault="004B1905" w:rsidP="004B19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>Настоящий муниципальный правовой а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кт вст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</w:rPr>
        <w:t>упает в силу после его официального опубликования.</w:t>
      </w:r>
    </w:p>
    <w:p w:rsidR="004B1905" w:rsidRPr="004B1905" w:rsidRDefault="004B1905" w:rsidP="004B19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Полномочия лиц, которые на день вступления в силу Федерального закона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включены в реестр иностранных агентов и замещают должности в органах публичной власти, прекращаются досрочно в случае, если в течение ста восьмидесяти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дней 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вступления вышеуказанного Федерального закона они не были исключены из указанного реестра. </w:t>
      </w:r>
    </w:p>
    <w:p w:rsidR="004B1905" w:rsidRPr="004B1905" w:rsidRDefault="004B1905" w:rsidP="004B19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ab/>
      </w:r>
    </w:p>
    <w:p w:rsidR="004B1905" w:rsidRPr="004B1905" w:rsidRDefault="004B1905" w:rsidP="004B19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1905" w:rsidRPr="004B1905" w:rsidRDefault="004B1905" w:rsidP="004B19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Глава Апраксинского </w:t>
      </w:r>
      <w:proofErr w:type="gramStart"/>
      <w:r w:rsidRPr="004B1905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:rsidR="004B1905" w:rsidRPr="004B1905" w:rsidRDefault="004B1905" w:rsidP="004B19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 xml:space="preserve">Костромского муниципального района </w:t>
      </w:r>
    </w:p>
    <w:p w:rsidR="004B1905" w:rsidRPr="004B1905" w:rsidRDefault="004B1905" w:rsidP="004B19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B1905">
        <w:rPr>
          <w:rFonts w:ascii="Times New Roman" w:eastAsia="Calibri" w:hAnsi="Times New Roman" w:cs="Times New Roman"/>
          <w:sz w:val="26"/>
          <w:szCs w:val="26"/>
        </w:rPr>
        <w:t>Костромской области                                               _______________                О.В. Глухарева</w:t>
      </w:r>
    </w:p>
    <w:p w:rsidR="004B1905" w:rsidRPr="00D625C8" w:rsidRDefault="004B1905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4175" cy="375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02 июля 2024 года</w:t>
      </w:r>
      <w:r w:rsidRPr="00B300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30073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№2</w:t>
      </w:r>
      <w:r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9</w:t>
      </w:r>
      <w:r w:rsidRPr="00B30073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 xml:space="preserve"> п. Апраксино.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26.12.2023 № 57 «</w:t>
      </w:r>
      <w:r w:rsidRPr="00B3007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2024 </w:t>
      </w: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2025</w:t>
      </w:r>
      <w:proofErr w:type="gramStart"/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2026 годов»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00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Рассмотрев внесенный администрацией Апраксинского сельского поселения Костромского муниципального района Костромской области проект решения «О бюджете поселения на 2024 год и на плановый период 2025 и 2026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</w:t>
      </w:r>
      <w:proofErr w:type="gramEnd"/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бюджет Апраксинского </w:t>
      </w:r>
      <w:proofErr w:type="gramStart"/>
      <w:r w:rsidRPr="00B3007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B3007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 учетом внесенных изменений по доходам в сумме 137 885 309,00 рублей, в том числе объем собственных доходов в сумме 12 670 624,00 рублей, объем безвозмездных поступлений 125 214 685,00 рублей и расходам в сумме 139 152 371,00 рублей с дефицитом 1 267 062,00 рублей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2. Приложение № 3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2024 год», к решению изложить в новой редакции.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3. Решение Совета депутатов опубликовать в газете «Апраксинский вестник».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от 02 июля 2024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2024од.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851"/>
        <w:gridCol w:w="709"/>
        <w:gridCol w:w="1559"/>
        <w:gridCol w:w="709"/>
        <w:gridCol w:w="1559"/>
      </w:tblGrid>
      <w:tr w:rsidR="00B30073" w:rsidRPr="00B30073" w:rsidTr="002E068D">
        <w:trPr>
          <w:trHeight w:val="870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Код администратора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Вид расхода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Сумма, руб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.(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проект)</w:t>
            </w:r>
          </w:p>
        </w:tc>
      </w:tr>
      <w:tr w:rsidR="00B30073" w:rsidRPr="00B30073" w:rsidTr="002E068D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Администрация Апраксинского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сельского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8255586,00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000000" w:fill="FFFFFF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6100000110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70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6200000190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130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994"/>
        </w:trPr>
        <w:tc>
          <w:tcPr>
            <w:tcW w:w="5118" w:type="dxa"/>
            <w:shd w:val="clear" w:color="000000" w:fill="FFFFFF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3438700,00</w:t>
            </w:r>
          </w:p>
        </w:tc>
      </w:tr>
      <w:tr w:rsidR="00B30073" w:rsidRPr="00B30073" w:rsidTr="002E068D">
        <w:trPr>
          <w:trHeight w:val="541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2248350,00</w:t>
            </w:r>
          </w:p>
        </w:tc>
      </w:tr>
      <w:tr w:rsidR="00B30073" w:rsidRPr="00B30073" w:rsidTr="002E068D">
        <w:trPr>
          <w:trHeight w:val="124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2248350,00</w:t>
            </w:r>
          </w:p>
        </w:tc>
      </w:tr>
      <w:tr w:rsidR="00B30073" w:rsidRPr="00B30073" w:rsidTr="002E068D">
        <w:trPr>
          <w:trHeight w:val="54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1186050,00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1176050,00</w:t>
            </w:r>
          </w:p>
        </w:tc>
      </w:tr>
      <w:tr w:rsidR="00B30073" w:rsidRPr="00B30073" w:rsidTr="002E068D">
        <w:trPr>
          <w:trHeight w:val="3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106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6600072090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4300,00</w:t>
            </w:r>
          </w:p>
        </w:tc>
      </w:tr>
      <w:tr w:rsidR="00B30073" w:rsidRPr="00B30073" w:rsidTr="002E068D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4300,00</w:t>
            </w:r>
          </w:p>
        </w:tc>
      </w:tr>
      <w:tr w:rsidR="00B30073" w:rsidRPr="00B30073" w:rsidTr="002E068D">
        <w:trPr>
          <w:trHeight w:val="357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12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3374016,00</w:t>
            </w:r>
          </w:p>
        </w:tc>
      </w:tr>
      <w:tr w:rsidR="00B30073" w:rsidRPr="00B30073" w:rsidTr="002E068D">
        <w:trPr>
          <w:trHeight w:val="73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2477700,00</w:t>
            </w:r>
          </w:p>
        </w:tc>
      </w:tr>
      <w:tr w:rsidR="00B30073" w:rsidRPr="00B30073" w:rsidTr="002E068D">
        <w:trPr>
          <w:trHeight w:val="9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1908700,00</w:t>
            </w:r>
          </w:p>
        </w:tc>
      </w:tr>
      <w:tr w:rsidR="00B30073" w:rsidRPr="00B30073" w:rsidTr="002E068D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569000,00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30073" w:rsidRPr="00B30073" w:rsidTr="002E068D">
        <w:trPr>
          <w:trHeight w:val="187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9900001790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218525,00</w:t>
            </w:r>
          </w:p>
        </w:tc>
      </w:tr>
      <w:tr w:rsidR="00B30073" w:rsidRPr="00B30073" w:rsidTr="002E068D">
        <w:trPr>
          <w:trHeight w:val="319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218525,00</w:t>
            </w:r>
          </w:p>
        </w:tc>
      </w:tr>
      <w:tr w:rsidR="00B30073" w:rsidRPr="00B30073" w:rsidTr="002E068D">
        <w:trPr>
          <w:trHeight w:val="551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9900021000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70000,00</w:t>
            </w:r>
          </w:p>
        </w:tc>
      </w:tr>
      <w:tr w:rsidR="00B30073" w:rsidRPr="00B30073" w:rsidTr="002E068D">
        <w:trPr>
          <w:trHeight w:val="75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70000,00</w:t>
            </w:r>
          </w:p>
        </w:tc>
      </w:tr>
      <w:tr w:rsidR="00B30073" w:rsidRPr="00B30073" w:rsidTr="002E068D">
        <w:trPr>
          <w:trHeight w:val="81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9900022020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6241,00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6241,00</w:t>
            </w:r>
          </w:p>
        </w:tc>
      </w:tr>
      <w:tr w:rsidR="00B30073" w:rsidRPr="00B30073" w:rsidTr="002E068D">
        <w:trPr>
          <w:trHeight w:val="246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601550,00</w:t>
            </w:r>
          </w:p>
        </w:tc>
      </w:tr>
      <w:tr w:rsidR="00B30073" w:rsidRPr="00B30073" w:rsidTr="002E068D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601550,00</w:t>
            </w:r>
          </w:p>
        </w:tc>
      </w:tr>
      <w:tr w:rsidR="00B30073" w:rsidRPr="00B30073" w:rsidTr="002E068D">
        <w:trPr>
          <w:trHeight w:val="236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448300,00</w:t>
            </w:r>
          </w:p>
        </w:tc>
      </w:tr>
      <w:tr w:rsidR="00B30073" w:rsidRPr="00B30073" w:rsidTr="002E068D">
        <w:trPr>
          <w:trHeight w:val="26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448300,00</w:t>
            </w:r>
          </w:p>
        </w:tc>
      </w:tr>
      <w:tr w:rsidR="00B30073" w:rsidRPr="00B30073" w:rsidTr="002E068D">
        <w:trPr>
          <w:trHeight w:val="125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293000,00</w:t>
            </w:r>
          </w:p>
        </w:tc>
      </w:tr>
      <w:tr w:rsidR="00B30073" w:rsidRPr="00B30073" w:rsidTr="002E068D">
        <w:trPr>
          <w:trHeight w:val="148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293000,00</w:t>
            </w:r>
          </w:p>
        </w:tc>
      </w:tr>
      <w:tr w:rsidR="00B30073" w:rsidRPr="00B30073" w:rsidTr="002E068D">
        <w:trPr>
          <w:trHeight w:val="127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155300,00</w:t>
            </w:r>
          </w:p>
        </w:tc>
      </w:tr>
      <w:tr w:rsidR="00B30073" w:rsidRPr="00B30073" w:rsidTr="002E068D">
        <w:trPr>
          <w:trHeight w:val="429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155300,00</w:t>
            </w:r>
          </w:p>
        </w:tc>
      </w:tr>
      <w:tr w:rsidR="00B30073" w:rsidRPr="00B30073" w:rsidTr="002E068D">
        <w:trPr>
          <w:trHeight w:val="291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105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1406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2024-2026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54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0900023100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B30073" w:rsidRPr="00B30073" w:rsidTr="002E068D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B30073" w:rsidRPr="00B30073" w:rsidTr="002E068D">
        <w:trPr>
          <w:trHeight w:val="135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Реализация мероприятий на осуществление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за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0900023210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115000,00</w:t>
            </w:r>
          </w:p>
        </w:tc>
      </w:tr>
      <w:tr w:rsidR="00B30073" w:rsidRPr="00B30073" w:rsidTr="002E068D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115000,00</w:t>
            </w:r>
          </w:p>
        </w:tc>
      </w:tr>
      <w:tr w:rsidR="00B30073" w:rsidRPr="00B30073" w:rsidTr="002E068D">
        <w:trPr>
          <w:trHeight w:val="21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55917096,00</w:t>
            </w:r>
          </w:p>
        </w:tc>
      </w:tr>
      <w:tr w:rsidR="00B30073" w:rsidRPr="00B30073" w:rsidTr="002E068D">
        <w:trPr>
          <w:trHeight w:val="2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Дорожное хозяйство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54046596,00</w:t>
            </w:r>
          </w:p>
        </w:tc>
      </w:tr>
      <w:tr w:rsidR="00B30073" w:rsidRPr="00B30073" w:rsidTr="002E068D">
        <w:trPr>
          <w:trHeight w:val="8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>сельского</w:t>
            </w:r>
            <w:proofErr w:type="gramEnd"/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поселения Костромской области на 2024-2026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54046596,00</w:t>
            </w:r>
          </w:p>
        </w:tc>
      </w:tr>
      <w:tr w:rsidR="00B30073" w:rsidRPr="00B30073" w:rsidTr="002E068D">
        <w:trPr>
          <w:trHeight w:val="135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2359100,00</w:t>
            </w:r>
          </w:p>
        </w:tc>
      </w:tr>
      <w:tr w:rsidR="00B30073" w:rsidRPr="00B30073" w:rsidTr="002E068D">
        <w:trPr>
          <w:trHeight w:val="70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2359100,00</w:t>
            </w:r>
          </w:p>
        </w:tc>
      </w:tr>
      <w:tr w:rsidR="00B30073" w:rsidRPr="00B30073" w:rsidTr="002E068D">
        <w:trPr>
          <w:trHeight w:val="60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2940127,00</w:t>
            </w:r>
          </w:p>
        </w:tc>
      </w:tr>
      <w:tr w:rsidR="00B30073" w:rsidRPr="00B30073" w:rsidTr="002E068D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2940127,00</w:t>
            </w:r>
          </w:p>
        </w:tc>
      </w:tr>
      <w:tr w:rsidR="00B30073" w:rsidRPr="00B30073" w:rsidTr="002E068D">
        <w:trPr>
          <w:trHeight w:val="17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полномочий на проектирование, строительств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реконструкцию), капитальный ремонт, ремонт и содержание автомобильных 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020000S2640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48097744,00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48097744,00</w:t>
            </w:r>
          </w:p>
        </w:tc>
      </w:tr>
      <w:tr w:rsidR="00B30073" w:rsidRPr="00B30073" w:rsidTr="002E068D">
        <w:trPr>
          <w:trHeight w:val="10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0200025010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649624,00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649624,00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 xml:space="preserve"> Другие вопросы в области национальной экономики.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52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3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69740097,00</w:t>
            </w:r>
          </w:p>
        </w:tc>
      </w:tr>
      <w:tr w:rsidR="00B30073" w:rsidRPr="00B30073" w:rsidTr="002E068D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78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Взносы на капитальный ремонт и за муниципальный жилищный фон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д(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Фонд регионального оператора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21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9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 на осуществление полномочий по организации водоснабжения в границах населенных пунктов  сельских поселений Костромского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17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11173597,00</w:t>
            </w:r>
          </w:p>
        </w:tc>
      </w:tr>
      <w:tr w:rsidR="00B30073" w:rsidRPr="00B30073" w:rsidTr="002E068D">
        <w:trPr>
          <w:trHeight w:val="75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Муниципальная программа " Модернизация и ремонт объектов уличного освещения  Апраксинского сельского поселения Костромского муниципального района Костромской области на 2024-2026 годы"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B30073" w:rsidRPr="00B30073" w:rsidTr="002E068D">
        <w:trPr>
          <w:trHeight w:val="33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0610020210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B30073" w:rsidRPr="00B30073" w:rsidTr="002E068D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417D21" w:rsidRPr="00B30073" w:rsidTr="002E068D">
        <w:trPr>
          <w:trHeight w:val="469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lastRenderedPageBreak/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2024-2026 годы""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7678017,00</w:t>
            </w:r>
          </w:p>
        </w:tc>
      </w:tr>
      <w:tr w:rsidR="00417D21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0610020240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6348462,00</w:t>
            </w:r>
          </w:p>
        </w:tc>
      </w:tr>
      <w:tr w:rsidR="00417D21" w:rsidRPr="00B30073" w:rsidTr="002E068D">
        <w:trPr>
          <w:trHeight w:val="675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304779,00</w:t>
            </w:r>
          </w:p>
        </w:tc>
      </w:tr>
      <w:tr w:rsidR="00417D21" w:rsidRPr="00B30073" w:rsidTr="002E068D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6043683,00</w:t>
            </w:r>
          </w:p>
        </w:tc>
      </w:tr>
      <w:tr w:rsidR="00B30073" w:rsidRPr="00B30073" w:rsidTr="002E068D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06000S2250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38035,00</w:t>
            </w:r>
          </w:p>
        </w:tc>
      </w:tr>
      <w:tr w:rsidR="00B30073" w:rsidRPr="00B30073" w:rsidTr="002E068D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38035,00</w:t>
            </w:r>
          </w:p>
        </w:tc>
      </w:tr>
      <w:tr w:rsidR="00B30073" w:rsidRPr="00B30073" w:rsidTr="002E068D">
        <w:trPr>
          <w:trHeight w:val="26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01000L576T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1227800,00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1227800,00</w:t>
            </w:r>
          </w:p>
        </w:tc>
      </w:tr>
      <w:tr w:rsidR="00B30073" w:rsidRPr="00B30073" w:rsidTr="002E068D">
        <w:trPr>
          <w:trHeight w:val="25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0100020770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63720,00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63720,00</w:t>
            </w:r>
          </w:p>
        </w:tc>
      </w:tr>
      <w:tr w:rsidR="00B30073" w:rsidRPr="00B30073" w:rsidTr="002E068D">
        <w:trPr>
          <w:trHeight w:val="81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30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Расходы на осуществление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Костромского муниципального района в части создания и содержания мест (площадок) накопления твердых коммунальных отходов в границах населенного пункта органом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30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26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32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(оказания услуг) подведомственных учреждений по решению вопросов в области 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990000059Ч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711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8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3331792,00</w:t>
            </w:r>
          </w:p>
        </w:tc>
      </w:tr>
      <w:tr w:rsidR="00B30073" w:rsidRPr="00B30073" w:rsidTr="002E068D">
        <w:trPr>
          <w:trHeight w:val="41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3331792,00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070000059Д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2985225,00</w:t>
            </w:r>
          </w:p>
        </w:tc>
      </w:tr>
      <w:tr w:rsidR="00B30073" w:rsidRPr="00B30073" w:rsidTr="002E068D">
        <w:trPr>
          <w:trHeight w:val="814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1535000,00</w:t>
            </w:r>
          </w:p>
        </w:tc>
      </w:tr>
      <w:tr w:rsidR="00B30073" w:rsidRPr="00B30073" w:rsidTr="002E068D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1443225,00</w:t>
            </w:r>
          </w:p>
        </w:tc>
      </w:tr>
      <w:tr w:rsidR="00B30073" w:rsidRPr="00B30073" w:rsidTr="002E068D">
        <w:trPr>
          <w:trHeight w:val="3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7000,00</w:t>
            </w:r>
          </w:p>
        </w:tc>
      </w:tr>
      <w:tr w:rsidR="00B30073" w:rsidRPr="00B30073" w:rsidTr="002E068D">
        <w:trPr>
          <w:trHeight w:val="102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0700000691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165000,00</w:t>
            </w:r>
          </w:p>
        </w:tc>
      </w:tr>
      <w:tr w:rsidR="00B30073" w:rsidRPr="00B30073" w:rsidTr="002E068D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165000,00</w:t>
            </w:r>
          </w:p>
        </w:tc>
      </w:tr>
      <w:tr w:rsidR="00B30073" w:rsidRPr="00B30073" w:rsidTr="002E068D">
        <w:trPr>
          <w:trHeight w:val="140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B30073" w:rsidRPr="00B30073" w:rsidTr="002E068D">
        <w:trPr>
          <w:trHeight w:val="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144000,00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144000,00</w:t>
            </w:r>
          </w:p>
        </w:tc>
      </w:tr>
      <w:tr w:rsidR="00B30073" w:rsidRPr="00B30073" w:rsidTr="002E068D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9900083100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B30073" w:rsidRPr="00B30073" w:rsidTr="002E068D">
        <w:trPr>
          <w:trHeight w:val="42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9900083110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79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и(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139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гос. органами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B30073">
              <w:rPr>
                <w:rFonts w:ascii="Arial" w:eastAsia="Times New Roman" w:hAnsi="Arial" w:cs="Arial"/>
                <w:lang w:eastAsia="ru-RU"/>
              </w:rPr>
              <w:t>гос</w:t>
            </w:r>
            <w:proofErr w:type="spellEnd"/>
            <w:r w:rsidRPr="00B30073">
              <w:rPr>
                <w:rFonts w:ascii="Arial" w:eastAsia="Times New Roman" w:hAnsi="Arial" w:cs="Arial"/>
                <w:lang w:eastAsia="ru-RU"/>
              </w:rPr>
              <w:t>-ми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855500,00</w:t>
            </w:r>
          </w:p>
        </w:tc>
      </w:tr>
      <w:tr w:rsidR="00B30073" w:rsidRPr="00B30073" w:rsidTr="002E068D">
        <w:trPr>
          <w:trHeight w:val="50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305000,00</w:t>
            </w:r>
          </w:p>
        </w:tc>
      </w:tr>
      <w:tr w:rsidR="00B30073" w:rsidRPr="00B30073" w:rsidTr="002E068D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139152371,00</w:t>
            </w:r>
          </w:p>
        </w:tc>
      </w:tr>
    </w:tbl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6E" w:rsidRDefault="003F656E">
      <w:pPr>
        <w:spacing w:after="0" w:line="240" w:lineRule="auto"/>
      </w:pPr>
      <w:r>
        <w:separator/>
      </w:r>
    </w:p>
  </w:endnote>
  <w:endnote w:type="continuationSeparator" w:id="0">
    <w:p w:rsidR="003F656E" w:rsidRDefault="003F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6E" w:rsidRDefault="003F656E">
      <w:pPr>
        <w:spacing w:after="0" w:line="240" w:lineRule="auto"/>
      </w:pPr>
      <w:r>
        <w:separator/>
      </w:r>
    </w:p>
  </w:footnote>
  <w:footnote w:type="continuationSeparator" w:id="0">
    <w:p w:rsidR="003F656E" w:rsidRDefault="003F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FA2FC7">
      <w:rPr>
        <w:rStyle w:val="af1"/>
        <w:noProof/>
      </w:rPr>
      <w:t>4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23082C96"/>
    <w:multiLevelType w:val="hybridMultilevel"/>
    <w:tmpl w:val="CBC023A4"/>
    <w:lvl w:ilvl="0" w:tplc="BE40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9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4BCC"/>
    <w:rsid w:val="001E6D59"/>
    <w:rsid w:val="002003BB"/>
    <w:rsid w:val="002008D9"/>
    <w:rsid w:val="00202492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B3AB7"/>
    <w:rsid w:val="003C2DE2"/>
    <w:rsid w:val="003C7D1F"/>
    <w:rsid w:val="003D5A84"/>
    <w:rsid w:val="003E78EA"/>
    <w:rsid w:val="003F3555"/>
    <w:rsid w:val="003F656E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B1905"/>
    <w:rsid w:val="004D3183"/>
    <w:rsid w:val="004F0540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29BF"/>
    <w:rsid w:val="006B7B52"/>
    <w:rsid w:val="006C1BF8"/>
    <w:rsid w:val="006D5780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B21C7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E2384"/>
    <w:rsid w:val="009E758C"/>
    <w:rsid w:val="009F638D"/>
    <w:rsid w:val="00A5677B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2FC7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18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181</cp:revision>
  <cp:lastPrinted>2022-05-06T09:46:00Z</cp:lastPrinted>
  <dcterms:created xsi:type="dcterms:W3CDTF">2019-02-05T10:30:00Z</dcterms:created>
  <dcterms:modified xsi:type="dcterms:W3CDTF">2024-11-20T10:34:00Z</dcterms:modified>
</cp:coreProperties>
</file>