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EC6AC4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№1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</w:t>
                  </w:r>
                  <w:r w:rsidR="006870ED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EC6AC4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  <w:bookmarkStart w:id="0" w:name="anchor0"/>
      <w:bookmarkEnd w:id="0"/>
    </w:p>
    <w:p w:rsidR="00EC6AC4" w:rsidRPr="00EC6AC4" w:rsidRDefault="00EC6AC4" w:rsidP="00EC6AC4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</w:pPr>
      <w:r w:rsidRPr="00EC6AC4"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  <w:t>Костромская межрайонная природоохранная прокуратура сообщает.</w:t>
      </w:r>
    </w:p>
    <w:p w:rsidR="00EC6AC4" w:rsidRPr="00EC6AC4" w:rsidRDefault="00EC6AC4" w:rsidP="00EC6AC4">
      <w:pPr>
        <w:spacing w:after="0" w:line="240" w:lineRule="auto"/>
        <w:textAlignment w:val="baseline"/>
        <w:rPr>
          <w:rFonts w:ascii="Arial" w:eastAsia="Times New Roman" w:hAnsi="Arial" w:cs="Arial"/>
          <w:color w:val="5D6778"/>
          <w:sz w:val="21"/>
          <w:szCs w:val="21"/>
          <w:lang w:eastAsia="ru-RU"/>
        </w:rPr>
      </w:pP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Костромской межрайонной природоохранной прокуратурой проведена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проверка соблюдения законодательства об отходах производства и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потребления.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 xml:space="preserve">Установлено, что на территории населенного пункта </w:t>
      </w:r>
      <w:proofErr w:type="spell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Барисьево</w:t>
      </w:r>
      <w:proofErr w:type="spell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в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</w:r>
      <w:proofErr w:type="spell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Солигаличском</w:t>
      </w:r>
      <w:proofErr w:type="spell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муниципальном округе Костромской области размешена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несанкционированная свалка отходов.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C целью устранения нарушений закона природоохранным прокурором главе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</w:r>
      <w:proofErr w:type="spell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Солигаличского</w:t>
      </w:r>
      <w:proofErr w:type="spell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муниципального округа внесено представление.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По результатам рассмотрения акта прокурорского реагирования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несанкционированная свалка ликвидирована.</w:t>
      </w:r>
    </w:p>
    <w:p w:rsidR="0032784A" w:rsidRDefault="0032784A" w:rsidP="0032784A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ind w:left="48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EC6AC4" w:rsidRPr="00EC6AC4" w:rsidRDefault="00EC6AC4" w:rsidP="00EC6AC4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</w:pPr>
      <w:r w:rsidRPr="00EC6AC4"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  <w:t>О дополнительных ограничениях розничной продажи алкогольной продукции на территории Костромской области.</w:t>
      </w:r>
    </w:p>
    <w:p w:rsidR="00EC6AC4" w:rsidRPr="00EC6AC4" w:rsidRDefault="00EC6AC4" w:rsidP="00EC6AC4">
      <w:pPr>
        <w:spacing w:after="0" w:line="240" w:lineRule="auto"/>
        <w:textAlignment w:val="baseline"/>
        <w:rPr>
          <w:rFonts w:ascii="Arial" w:eastAsia="Times New Roman" w:hAnsi="Arial" w:cs="Arial"/>
          <w:color w:val="5D6778"/>
          <w:sz w:val="21"/>
          <w:szCs w:val="21"/>
          <w:lang w:eastAsia="ru-RU"/>
        </w:rPr>
      </w:pP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1 марта 2025 года вступают в силу следующие изменения в Закон Костромской области от 29.12.2010 № 22-5-ЗКО «О регулировании розничной продажи алкогольной продукции на территории Костромской области», устанавливающие дополнительные ограничения розничной продажи 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lastRenderedPageBreak/>
        <w:t>алкогольной продукции.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</w:r>
      <w:proofErr w:type="gram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В соответствии со статьей 4.1 Закона Костромской области при осуществлении розничной продажи алкогольной продукции, за исключением розничной продажи алкогольной продукции при оказании услуг общественного питания, выкладка и демонстрация алкогольной продукции не допускается: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 xml:space="preserve">1) в </w:t>
      </w:r>
      <w:proofErr w:type="spell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прикассовой</w:t>
      </w:r>
      <w:proofErr w:type="spell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зоне (в радиусе 2 метров от места установки контрольно-кассовой техники при площади торгового зала до 50 квадратных метров включительно, в радиусе 3 метров от места</w:t>
      </w:r>
      <w:proofErr w:type="gram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</w:t>
      </w:r>
      <w:proofErr w:type="gram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установки контрольно-кассовой техники при площади торгового зала свыше 50 до 150 квадратных метров включительно, в радиусе 5 метров от места установки контрольно-кассовой техники при площади торгового зала свыше 150 квадратных метров), за исключением случаев: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а) размещения контрольно-кассовой техники в территориально обособленных местах, специально отведенных для продажи алкогольной продукции (далее - специализированные отделы).</w:t>
      </w:r>
      <w:proofErr w:type="gram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</w:t>
      </w:r>
      <w:proofErr w:type="gram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Под специализированным отделом понимается часть торгового зала, выделенная стенами, перегородками или </w:t>
      </w:r>
      <w:proofErr w:type="spell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непрозразрачными</w:t>
      </w:r>
      <w:proofErr w:type="spell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вертикальными ограждениями высотой не менее 2 метров и имеющая вход шириной не более 1,6 метра;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 xml:space="preserve">б) выкладки алкогольной продукции в закрытом непрозрачном торговом оборудовании, исключающем демонстрацию алкогольной продукции, и расположенном в </w:t>
      </w:r>
      <w:proofErr w:type="spell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прикассовой</w:t>
      </w:r>
      <w:proofErr w:type="spell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зоне при условии, что количество мест размещения такого оборудования в торговом зале не превышает одного.</w:t>
      </w:r>
      <w:proofErr w:type="gram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</w:t>
      </w:r>
      <w:proofErr w:type="gram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Информация об алкогольной продукции, выкладка которой осуществляется в </w:t>
      </w:r>
      <w:proofErr w:type="spell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прикассовой</w:t>
      </w:r>
      <w:proofErr w:type="spell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зоне, доводится до сведения покупателей в соответствии с законодательством Российской Федерации о защите прав потребителей посредством размещения в торговом зале перечня продаваемой алкогольной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алкогольной продукции без использования каких-либо графических</w:t>
      </w:r>
      <w:proofErr w:type="gram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изображений и рисунков. Демонстрация алкогольной продукции покупателю осуществляется по его требованию после ознакомления с перечнем продаваемой алкогольной продукции с учетом требований подпункта 11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2) на расстоянии менее 2 метров от места выкладки и демонстрации следующих товарных категорий: кондитерских изделий, безалкогольных напитков, снеков, мороженого, детских игрушек, игр (расстояние измеряется от ближайшей точки лицевой или боковой оси выкладки и демонстрации алкогольной продукции), за исключением случаев размещения алкогольной продукции в специализированных отделах. Данный запрет не применяется при размещении указанных товарных категорий на том же торговом оборудовании, что и алкогольная продукция (или смежном с ним торговом оборудовании) за сплошной непрозрачной задней стенкой;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>3) если место установки контрольно-кассовой техники по отношению к входу в помещение, в котором осуществляется розничная продажа алкогольной продукции, располагается на большем расстоянии по сравнению с местом выкладки и демонстрации алкогольной продукции;</w:t>
      </w:r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br/>
        <w:t xml:space="preserve">4) если в доступном для обозрения покупателей месте в торговом зале отсутствует объявление (размером не менее 297 x 420 мм) о вреде чрезмерного потребления алкоголя для здоровья в виде словосочетания «Чрезмерное употребление алкоголя вредит Вашему здоровью», о запрете продажи алкогольной продукции лицам, не достигшим восемнадцатилетнего возраста, в виде словосочетания «Запрещено для несовершеннолетних», а </w:t>
      </w:r>
      <w:proofErr w:type="gramStart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>также</w:t>
      </w:r>
      <w:proofErr w:type="gramEnd"/>
      <w:r w:rsidRPr="00EC6AC4">
        <w:rPr>
          <w:rFonts w:ascii="Arial" w:eastAsia="Times New Roman" w:hAnsi="Arial" w:cs="Arial"/>
          <w:color w:val="5D6778"/>
          <w:sz w:val="21"/>
          <w:szCs w:val="21"/>
          <w:lang w:eastAsia="ru-RU"/>
        </w:rPr>
        <w:t xml:space="preserve"> если на каждой единице оборудования для выкладки и демонстрации алкогольной продукции отсутствует указание (размером не менее 100 x 150 мм) на наличие такого запрета в виде цифры «18» и знака «плюс» и (или) текстового предупреждения в виде словосочетания «Запрещено для несовершеннолетних».</w:t>
      </w:r>
    </w:p>
    <w:p w:rsidR="00EC6AC4" w:rsidRPr="0032784A" w:rsidRDefault="00EC6AC4" w:rsidP="0032784A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ind w:left="48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bookmarkStart w:id="1" w:name="_GoBack"/>
      <w:bookmarkEnd w:id="1"/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1EA" w:rsidRDefault="00AB11EA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7112C6" w:rsidRPr="00DB7A1E" w:rsidRDefault="007112C6" w:rsidP="007112C6">
      <w:pPr>
        <w:widowControl w:val="0"/>
        <w:tabs>
          <w:tab w:val="left" w:pos="698"/>
        </w:tabs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84" w:rsidRDefault="00056684">
      <w:pPr>
        <w:spacing w:after="0" w:line="240" w:lineRule="auto"/>
      </w:pPr>
      <w:r>
        <w:separator/>
      </w:r>
    </w:p>
  </w:endnote>
  <w:endnote w:type="continuationSeparator" w:id="0">
    <w:p w:rsidR="00056684" w:rsidRDefault="0005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84" w:rsidRDefault="00056684">
      <w:pPr>
        <w:spacing w:after="0" w:line="240" w:lineRule="auto"/>
      </w:pPr>
      <w:r>
        <w:separator/>
      </w:r>
    </w:p>
  </w:footnote>
  <w:footnote w:type="continuationSeparator" w:id="0">
    <w:p w:rsidR="00056684" w:rsidRDefault="0005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EC6AC4">
      <w:rPr>
        <w:rStyle w:val="af0"/>
        <w:noProof/>
      </w:rPr>
      <w:t>1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8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1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6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29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0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6"/>
  </w:num>
  <w:num w:numId="5">
    <w:abstractNumId w:val="31"/>
  </w:num>
  <w:num w:numId="6">
    <w:abstractNumId w:val="27"/>
  </w:num>
  <w:num w:numId="7">
    <w:abstractNumId w:val="18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1"/>
  </w:num>
  <w:num w:numId="21">
    <w:abstractNumId w:val="24"/>
  </w:num>
  <w:num w:numId="22">
    <w:abstractNumId w:val="21"/>
  </w:num>
  <w:num w:numId="23">
    <w:abstractNumId w:val="23"/>
  </w:num>
  <w:num w:numId="24">
    <w:abstractNumId w:val="30"/>
  </w:num>
  <w:num w:numId="25">
    <w:abstractNumId w:val="1"/>
  </w:num>
  <w:num w:numId="26">
    <w:abstractNumId w:val="6"/>
  </w:num>
  <w:num w:numId="27">
    <w:abstractNumId w:val="15"/>
  </w:num>
  <w:num w:numId="28">
    <w:abstractNumId w:val="22"/>
  </w:num>
  <w:num w:numId="29">
    <w:abstractNumId w:val="7"/>
  </w:num>
  <w:num w:numId="30">
    <w:abstractNumId w:val="28"/>
  </w:num>
  <w:num w:numId="31">
    <w:abstractNumId w:val="19"/>
  </w:num>
  <w:num w:numId="32">
    <w:abstractNumId w:val="16"/>
  </w:num>
  <w:num w:numId="33">
    <w:abstractNumId w:val="8"/>
  </w:num>
  <w:num w:numId="34">
    <w:abstractNumId w:val="4"/>
  </w:num>
  <w:num w:numId="35">
    <w:abstractNumId w:val="25"/>
  </w:num>
  <w:num w:numId="36">
    <w:abstractNumId w:val="20"/>
  </w:num>
  <w:num w:numId="37">
    <w:abstractNumId w:val="2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56684"/>
    <w:rsid w:val="000754B7"/>
    <w:rsid w:val="000868EF"/>
    <w:rsid w:val="00093D41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5418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50B6"/>
    <w:rsid w:val="005A2A24"/>
    <w:rsid w:val="005F3A83"/>
    <w:rsid w:val="006004EA"/>
    <w:rsid w:val="00600ED1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66FBB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7590F"/>
    <w:rsid w:val="00AA3539"/>
    <w:rsid w:val="00AA7C76"/>
    <w:rsid w:val="00AB0F2B"/>
    <w:rsid w:val="00AB11EA"/>
    <w:rsid w:val="00AB444A"/>
    <w:rsid w:val="00AB7A47"/>
    <w:rsid w:val="00B12980"/>
    <w:rsid w:val="00B13C74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C00CB"/>
    <w:rsid w:val="00CC161C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53D1C"/>
    <w:rsid w:val="00E61C1D"/>
    <w:rsid w:val="00E90742"/>
    <w:rsid w:val="00E9638C"/>
    <w:rsid w:val="00EC048A"/>
    <w:rsid w:val="00EC6AC4"/>
    <w:rsid w:val="00ED0D63"/>
    <w:rsid w:val="00EE3CD4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117</cp:revision>
  <cp:lastPrinted>2022-05-06T09:46:00Z</cp:lastPrinted>
  <dcterms:created xsi:type="dcterms:W3CDTF">2019-02-05T10:30:00Z</dcterms:created>
  <dcterms:modified xsi:type="dcterms:W3CDTF">2025-01-31T09:05:00Z</dcterms:modified>
</cp:coreProperties>
</file>