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0F7B9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DA45C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A45CC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0F7B9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B92" w:rsidRDefault="000F7B92" w:rsidP="000F7B92">
      <w:pPr>
        <w:pStyle w:val="Default"/>
      </w:pPr>
      <w:bookmarkStart w:id="0" w:name="anchor0"/>
      <w:bookmarkEnd w:id="0"/>
      <w:r>
        <w:rPr>
          <w:rFonts w:ascii="Arial" w:eastAsia="Times New Roman" w:hAnsi="Arial" w:cs="Arial"/>
          <w:lang w:eastAsia="ru-RU"/>
        </w:rPr>
        <w:tab/>
      </w:r>
    </w:p>
    <w:p w:rsidR="000F7B92" w:rsidRDefault="000F7B92" w:rsidP="000F7B92">
      <w:pPr>
        <w:pStyle w:val="Default"/>
        <w:rPr>
          <w:sz w:val="23"/>
          <w:szCs w:val="23"/>
        </w:rPr>
      </w:pPr>
      <w:r>
        <w:t xml:space="preserve"> </w:t>
      </w:r>
      <w:proofErr w:type="gramStart"/>
      <w:r>
        <w:rPr>
          <w:b/>
          <w:bCs/>
          <w:sz w:val="23"/>
          <w:szCs w:val="23"/>
        </w:rPr>
        <w:t xml:space="preserve">Методические рекомендации по организации трудоустройства подростков в рамках мероприятий, реализуемых </w:t>
      </w:r>
      <w:proofErr w:type="spellStart"/>
      <w:r>
        <w:rPr>
          <w:b/>
          <w:bCs/>
          <w:sz w:val="23"/>
          <w:szCs w:val="23"/>
        </w:rPr>
        <w:t>ОГКУ</w:t>
      </w:r>
      <w:proofErr w:type="spellEnd"/>
      <w:r>
        <w:rPr>
          <w:b/>
          <w:bCs/>
          <w:sz w:val="23"/>
          <w:szCs w:val="23"/>
        </w:rPr>
        <w:t xml:space="preserve"> «Центр занятости населения Костромской области» по организации временного трудоустройства несовершеннолетних граждан в возрасте от 14 до 18 лет, в </w:t>
      </w:r>
      <w:proofErr w:type="spellStart"/>
      <w:r>
        <w:rPr>
          <w:b/>
          <w:bCs/>
          <w:sz w:val="23"/>
          <w:szCs w:val="23"/>
        </w:rPr>
        <w:t>т.ч</w:t>
      </w:r>
      <w:proofErr w:type="spellEnd"/>
      <w:r>
        <w:rPr>
          <w:b/>
          <w:bCs/>
          <w:sz w:val="23"/>
          <w:szCs w:val="23"/>
        </w:rPr>
        <w:t xml:space="preserve">. в свободное от учебы время </w:t>
      </w:r>
      <w:r>
        <w:rPr>
          <w:sz w:val="23"/>
          <w:szCs w:val="23"/>
        </w:rPr>
        <w:t>Настоящие Методические рекомендации разработаны в помощь работодателям различных форм собственности, участвующим в мероприятиях по организации временного трудоустройства несовершеннолетних граждан.</w:t>
      </w:r>
      <w:proofErr w:type="gramEnd"/>
      <w:r>
        <w:rPr>
          <w:sz w:val="23"/>
          <w:szCs w:val="23"/>
        </w:rPr>
        <w:t xml:space="preserve"> Основной задачей содействия трудоустройству несовершеннолетних граждан на временную работу является их приобщение к труду, получение профессиональных навыков, адаптация к трудовой деятельности. </w:t>
      </w:r>
      <w:r>
        <w:rPr>
          <w:b/>
          <w:bCs/>
          <w:sz w:val="23"/>
          <w:szCs w:val="23"/>
        </w:rPr>
        <w:t xml:space="preserve">Особенности трудоустройства несовершеннолетних </w:t>
      </w:r>
      <w:r>
        <w:rPr>
          <w:sz w:val="23"/>
          <w:szCs w:val="23"/>
        </w:rPr>
        <w:t xml:space="preserve">Особенности трудоустройства лиц в возрасте до 18 лет определяются трудовым законодательством, коллективными договорами, соглашениями. </w:t>
      </w:r>
      <w:r>
        <w:rPr>
          <w:i/>
          <w:iCs/>
          <w:sz w:val="23"/>
          <w:szCs w:val="23"/>
        </w:rPr>
        <w:t xml:space="preserve">При этом следует учесть, что совершеннолетие наступает не в день празднования 18-летия, а со следующего дня. </w:t>
      </w:r>
      <w:r>
        <w:rPr>
          <w:sz w:val="23"/>
          <w:szCs w:val="23"/>
        </w:rPr>
        <w:t xml:space="preserve">При заключении трудового договора работодателям следует обратить внимание на требования к порядку трудоустройства и условиям труда несовершеннолетних работников. Заключать трудовой договор допускается с лицами: - достигшими возраста 16 лет (ч. 1 ст. 63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- достигшими возраста 15 лет, получившими общее образование для выполнения легкого труда, не причиняющего вреда их здоровью (ч. 2 ст. 63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достигшими возраста 15 лет и в соответствии с федеральным </w:t>
      </w:r>
      <w:proofErr w:type="gramStart"/>
      <w:r>
        <w:rPr>
          <w:sz w:val="23"/>
          <w:szCs w:val="23"/>
        </w:rPr>
        <w:t>законом</w:t>
      </w:r>
      <w:proofErr w:type="gramEnd"/>
      <w:r>
        <w:rPr>
          <w:sz w:val="23"/>
          <w:szCs w:val="23"/>
        </w:rPr>
        <w:t xml:space="preserve"> оставившими общеобразовательную организацию до получения основного общего образования или отчисленными из указанной организации и продолжающими получать общее образование в иной форме обучения. С ними правомерно заключать трудовые договоры для выполнения легкого труда, не причиняющего вреда их здоровью и без ущерба для освоения образовательной программы (ч. 2 ст. 63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достигшими возраста 14 лет и получившими общее образование, для выполнения легкого труда, не причиняющего вреда их здоровью, при наличии письменного согласия одного из родителей (попечителя), а для детей-сирот и детей, оставшихся без попечения родителей, - при наличии письменного согласия органа опеки и попечительства или иного законного представителя (ч. 3, 4 ст. 63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  <w:proofErr w:type="gramEnd"/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proofErr w:type="gramStart"/>
      <w:r>
        <w:rPr>
          <w:sz w:val="23"/>
          <w:szCs w:val="23"/>
        </w:rPr>
        <w:t>достигшими</w:t>
      </w:r>
      <w:proofErr w:type="gramEnd"/>
      <w:r>
        <w:rPr>
          <w:sz w:val="23"/>
          <w:szCs w:val="23"/>
        </w:rPr>
        <w:t xml:space="preserve"> возраста 14 лет и получающими общее образование, если работа выполняется в свободное от получения образования время. При этом возможно выполнение только легкого труда, не причиняющего вреда их здоровью и без ущерба для освоения образовательной программы. Также обязательным является письменное согласие одного из родителей (попечителя), а для детей-сирот и детей, оставшихся без попечения родителей, - письменное согласие органа опеки и попечительства или иного законного представителя (ч. 3, 4 ст. 63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- не </w:t>
      </w:r>
      <w:proofErr w:type="gramStart"/>
      <w:r>
        <w:rPr>
          <w:sz w:val="23"/>
          <w:szCs w:val="23"/>
        </w:rPr>
        <w:t>достигшими</w:t>
      </w:r>
      <w:proofErr w:type="gramEnd"/>
      <w:r>
        <w:rPr>
          <w:sz w:val="23"/>
          <w:szCs w:val="23"/>
        </w:rPr>
        <w:t xml:space="preserve"> возраста 14 лет с согласия одного из родителей (опекуна) и разрешения органа опеки и попечительства для работы в организациях кинематографии, театрах, театральных и концертных организациях, цирках для участия в создании и (или) исполнении (экспонировании) произведений без ущерба здоровью и нравственному развитию, а также со спортсменом.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 (ч. 5 ст. 63, ч. 5 ст. 348.8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РФ). </w:t>
      </w:r>
      <w:r>
        <w:rPr>
          <w:sz w:val="20"/>
          <w:szCs w:val="20"/>
        </w:rPr>
        <w:t xml:space="preserve">2 </w:t>
      </w:r>
    </w:p>
    <w:p w:rsidR="000F7B92" w:rsidRDefault="000F7B92" w:rsidP="000F7B92">
      <w:pPr>
        <w:pStyle w:val="Default"/>
        <w:pageBreakBefore/>
        <w:rPr>
          <w:sz w:val="23"/>
          <w:szCs w:val="23"/>
        </w:rPr>
      </w:pPr>
      <w:bookmarkStart w:id="1" w:name="_GoBack"/>
      <w:bookmarkEnd w:id="1"/>
      <w:r>
        <w:rPr>
          <w:sz w:val="23"/>
          <w:szCs w:val="23"/>
        </w:rPr>
        <w:lastRenderedPageBreak/>
        <w:t xml:space="preserve">Особенности регулирования труда работников в возрасте до 18 лет регламентирует глава 42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РФ. В соответствии со ст. 265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запрещается применение труда лиц в возрасте до 18 лет: </w:t>
      </w:r>
      <w:proofErr w:type="gramStart"/>
      <w:r>
        <w:rPr>
          <w:sz w:val="23"/>
          <w:szCs w:val="23"/>
        </w:rPr>
        <w:t>-н</w:t>
      </w:r>
      <w:proofErr w:type="gramEnd"/>
      <w:r>
        <w:rPr>
          <w:sz w:val="23"/>
          <w:szCs w:val="23"/>
        </w:rPr>
        <w:t xml:space="preserve">а работах с вредными и (или) опасными условиями труда (Постановление Правительства РФ от 25 февраля 2000 г. № 163); -на подземных работах; </w:t>
      </w:r>
      <w:proofErr w:type="gramStart"/>
      <w:r>
        <w:rPr>
          <w:sz w:val="23"/>
          <w:szCs w:val="23"/>
        </w:rPr>
        <w:t>-н</w:t>
      </w:r>
      <w:proofErr w:type="gramEnd"/>
      <w:r>
        <w:rPr>
          <w:sz w:val="23"/>
          <w:szCs w:val="23"/>
        </w:rPr>
        <w:t xml:space="preserve">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 Запрещается: - переноска и передвижение работниками в возрасте до восемнадцати лет тяжестей, превышающих установленные для них предельные нормы (нормы предельно допустимых нагрузок для лиц моложе восемнадцати лет при подъеме и перемещении тяжестей вручную установлены постановлением Минтруда РФ от 07.04.1999 № 7); - привлечение несовершеннолетних лиц к работе: </w:t>
      </w:r>
    </w:p>
    <w:p w:rsidR="000F7B92" w:rsidRDefault="000F7B92" w:rsidP="000F7B9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работа по совместительству (ч. 5 ст. 282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на работах, выполнение которых может причинить вред их здоровью и нравственному развитию (ст. 265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работа, связанная: с выездом в служебную командировку, привлечением в ночное время, в выходные и нерабочие праздничные дни, к сверхурочной работе (ст. 268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РФ; ст. 348.8 </w:t>
      </w:r>
      <w:proofErr w:type="spellStart"/>
      <w:r>
        <w:rPr>
          <w:sz w:val="23"/>
          <w:szCs w:val="23"/>
        </w:rPr>
        <w:t>КТ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деятельность в религиозных организациях (ч. 2 ст. 342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работы вахтовым методом (ст. 298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РФ); </w:t>
      </w: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деятельность, связанная с управлением и движением транспортных средств (Постановление Правительства РФ от 25 февраля 2000 г. № 163). </w:t>
      </w:r>
    </w:p>
    <w:p w:rsidR="000F7B92" w:rsidRDefault="000F7B92" w:rsidP="000F7B92">
      <w:pPr>
        <w:pStyle w:val="Default"/>
        <w:rPr>
          <w:sz w:val="23"/>
          <w:szCs w:val="23"/>
        </w:rPr>
      </w:pP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ст. 244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с работниками, не достигшими 18 лет, не могут заключаться письменные договоры о полной индивидуальной или коллективной (бригадной) материальной ответственности. </w:t>
      </w:r>
      <w:r>
        <w:rPr>
          <w:b/>
          <w:bCs/>
          <w:sz w:val="23"/>
          <w:szCs w:val="23"/>
        </w:rPr>
        <w:t xml:space="preserve">При наличии рабочих мест, соответствующих вышеприведенным требованиям </w:t>
      </w:r>
      <w:proofErr w:type="spellStart"/>
      <w:r>
        <w:rPr>
          <w:b/>
          <w:bCs/>
          <w:sz w:val="23"/>
          <w:szCs w:val="23"/>
        </w:rPr>
        <w:t>ТК</w:t>
      </w:r>
      <w:proofErr w:type="spellEnd"/>
      <w:r>
        <w:rPr>
          <w:b/>
          <w:bCs/>
          <w:sz w:val="23"/>
          <w:szCs w:val="23"/>
        </w:rPr>
        <w:t xml:space="preserve"> РФ, работодатель рассматривает вопрос о трудоустройстве несовершеннолетнего гражданина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П</w:t>
      </w:r>
      <w:proofErr w:type="gramEnd"/>
      <w:r>
        <w:rPr>
          <w:i/>
          <w:iCs/>
          <w:sz w:val="23"/>
          <w:szCs w:val="23"/>
        </w:rPr>
        <w:t xml:space="preserve">ри этом следует учесть, что если трудоустройство несовершеннолетних граждан невозможно, если работодатель не может создать на рабочем месте безопасные условия для подростка или установить ему сокращенный режим работы, работодатель вправе отказать в приеме. Отказать следует и в случае отсутствия одного или нескольких обязательных </w:t>
      </w:r>
      <w:proofErr w:type="gramStart"/>
      <w:r>
        <w:rPr>
          <w:i/>
          <w:iCs/>
          <w:sz w:val="23"/>
          <w:szCs w:val="23"/>
        </w:rPr>
        <w:t>для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приѐма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на</w:t>
      </w:r>
      <w:proofErr w:type="gramEnd"/>
      <w:r>
        <w:rPr>
          <w:i/>
          <w:iCs/>
          <w:sz w:val="23"/>
          <w:szCs w:val="23"/>
        </w:rPr>
        <w:t xml:space="preserve"> работу документов. Такой подход не считается дискриминационным. </w:t>
      </w:r>
      <w:r>
        <w:rPr>
          <w:sz w:val="23"/>
          <w:szCs w:val="23"/>
        </w:rPr>
        <w:t xml:space="preserve">Документы, предъявляемые при заключении трудового договора, определены статьей 65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РФ. Вместе с тем для оформления трудового договора с подростком требуется предоставление документов, которые позволяют сделать данный правовой акт индивидуальным с учетом возрастных и других особенностей несовершеннолетних, чтобы обеспечить максимальное регулирование правоотношений с конкретным работником. Подростку для решения вопроса о трудоустройстве необходимо предъявить работодателю: </w:t>
      </w: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паспорт; </w:t>
      </w:r>
    </w:p>
    <w:p w:rsidR="000F7B92" w:rsidRDefault="000F7B92" w:rsidP="000F7B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 </w:t>
      </w:r>
    </w:p>
    <w:p w:rsidR="000F7B92" w:rsidRDefault="000F7B92" w:rsidP="000F7B92">
      <w:pPr>
        <w:pStyle w:val="Default"/>
        <w:pageBreakBefore/>
        <w:rPr>
          <w:sz w:val="20"/>
          <w:szCs w:val="20"/>
        </w:rPr>
      </w:pP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трудовую книжку и (или) сведения о трудовой деятельности (статья 66.1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РФ) за исключением случаев, если трудовой договор заключается впервые; </w:t>
      </w:r>
    </w:p>
    <w:p w:rsidR="000F7B92" w:rsidRDefault="000F7B92" w:rsidP="000F7B92">
      <w:pPr>
        <w:pStyle w:val="Default"/>
        <w:rPr>
          <w:sz w:val="23"/>
          <w:szCs w:val="23"/>
        </w:rPr>
      </w:pP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Напоминаем, что на работников, поступивших на работу впервые после 31.12.2020, бумажные трудовые книжки не оформляются. Работодатель формирует в электронном виде сведения о трудовой деятельности - основную информацию о трудовой деятельности и трудовом стаже каждого работника (ст. 66.1 </w:t>
      </w:r>
      <w:proofErr w:type="spellStart"/>
      <w:r>
        <w:rPr>
          <w:i/>
          <w:iCs/>
          <w:sz w:val="23"/>
          <w:szCs w:val="23"/>
        </w:rPr>
        <w:t>ТК</w:t>
      </w:r>
      <w:proofErr w:type="spellEnd"/>
      <w:r>
        <w:rPr>
          <w:i/>
          <w:iCs/>
          <w:sz w:val="23"/>
          <w:szCs w:val="23"/>
        </w:rPr>
        <w:t xml:space="preserve"> РФ, ч. 8 ст. 2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виде»). </w:t>
      </w:r>
    </w:p>
    <w:p w:rsidR="000F7B92" w:rsidRDefault="000F7B92" w:rsidP="000F7B92">
      <w:pPr>
        <w:pStyle w:val="Default"/>
        <w:spacing w:after="83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окумент, подтверждающий регистрацию в системе индивидуального (персонифицированного) учета, в том числе в форме электронного документа (если подросток устраивается на работу впервые, его регистрацией в системе персонифицированного </w:t>
      </w:r>
      <w:proofErr w:type="spellStart"/>
      <w:r>
        <w:rPr>
          <w:sz w:val="23"/>
          <w:szCs w:val="23"/>
        </w:rPr>
        <w:t>учѐта</w:t>
      </w:r>
      <w:proofErr w:type="spellEnd"/>
      <w:r>
        <w:rPr>
          <w:sz w:val="23"/>
          <w:szCs w:val="23"/>
        </w:rPr>
        <w:t xml:space="preserve"> занимается работодатель); </w:t>
      </w: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справку по форме 086/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</w:t>
      </w:r>
      <w:proofErr w:type="gramEnd"/>
      <w:r>
        <w:rPr>
          <w:sz w:val="23"/>
          <w:szCs w:val="23"/>
        </w:rPr>
        <w:t xml:space="preserve"> отсутствии медицинских противопоказаний; </w:t>
      </w:r>
    </w:p>
    <w:p w:rsidR="000F7B92" w:rsidRDefault="000F7B92" w:rsidP="000F7B92">
      <w:pPr>
        <w:pStyle w:val="Default"/>
        <w:rPr>
          <w:sz w:val="23"/>
          <w:szCs w:val="23"/>
        </w:rPr>
      </w:pPr>
    </w:p>
    <w:p w:rsidR="000F7B92" w:rsidRDefault="000F7B92" w:rsidP="000F7B9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Помимо указанного, в связи с ограничениями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в соответствии со статьей 351.1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для трудоустройства в такие учреждения потребуется: </w:t>
      </w:r>
      <w:proofErr w:type="gramEnd"/>
    </w:p>
    <w:p w:rsidR="000F7B92" w:rsidRDefault="000F7B92" w:rsidP="000F7B92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— при поступлении на работу, связанную с деятельностью, к осуществлению которой в соответствии с настоящим Кодексом</w:t>
      </w:r>
      <w:proofErr w:type="gramEnd"/>
      <w:r>
        <w:rPr>
          <w:sz w:val="23"/>
          <w:szCs w:val="23"/>
        </w:rPr>
        <w:t xml:space="preserve">, иным федеральным законом не допускаются лица, имеющие или имевшие судимость, подвергающиеся или подвергавшиеся уголовному преследованию; </w:t>
      </w:r>
    </w:p>
    <w:p w:rsidR="000F7B92" w:rsidRDefault="000F7B92" w:rsidP="000F7B92">
      <w:pPr>
        <w:pStyle w:val="Default"/>
        <w:rPr>
          <w:sz w:val="23"/>
          <w:szCs w:val="23"/>
        </w:rPr>
      </w:pPr>
      <w:proofErr w:type="gramStart"/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sz w:val="23"/>
          <w:szCs w:val="23"/>
        </w:rPr>
        <w:t>психоактивных</w:t>
      </w:r>
      <w:proofErr w:type="spellEnd"/>
      <w:r>
        <w:rPr>
          <w:sz w:val="23"/>
          <w:szCs w:val="23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  <w:proofErr w:type="gramEnd"/>
      <w:r>
        <w:rPr>
          <w:sz w:val="23"/>
          <w:szCs w:val="23"/>
        </w:rPr>
        <w:t xml:space="preserve">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sz w:val="23"/>
          <w:szCs w:val="23"/>
        </w:rPr>
        <w:t>психоактивных</w:t>
      </w:r>
      <w:proofErr w:type="spellEnd"/>
      <w:r>
        <w:rPr>
          <w:sz w:val="23"/>
          <w:szCs w:val="23"/>
        </w:rPr>
        <w:t xml:space="preserve"> веществ, до окончания срока, в течение которого лицо считается подвергнутым административному наказанию. </w:t>
      </w:r>
    </w:p>
    <w:p w:rsidR="000F7B92" w:rsidRDefault="000F7B92" w:rsidP="000F7B92">
      <w:pPr>
        <w:pStyle w:val="Default"/>
        <w:rPr>
          <w:sz w:val="23"/>
          <w:szCs w:val="23"/>
        </w:rPr>
      </w:pPr>
    </w:p>
    <w:p w:rsidR="000F7B92" w:rsidRDefault="000F7B92" w:rsidP="000F7B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Медицинский осмотр (обследование) при заключении трудового договора </w:t>
      </w:r>
      <w:r>
        <w:rPr>
          <w:sz w:val="23"/>
          <w:szCs w:val="23"/>
        </w:rPr>
        <w:t xml:space="preserve">Лица, не достигшие возраста восемнадцати лет, в соответствии со статьями 69 и 213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подлежат обязательному предварительному медицинскому осмотру. Работодатель обязан обеспечить недопущение работников к исполнению ими трудовых обязанностей без прохождения обязательных медицинских осмотров. </w:t>
      </w:r>
    </w:p>
    <w:p w:rsidR="000F7B92" w:rsidRDefault="000F7B92" w:rsidP="000F7B92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Порядок проведения обязательных предварительных и периодических медицинских осмотров работников определен приказом министерства здравоохранения Российской Федерации от 28 января 2021 г. № 29н «Об утверждении Порядка проведения </w:t>
      </w:r>
      <w:r>
        <w:rPr>
          <w:sz w:val="20"/>
          <w:szCs w:val="20"/>
        </w:rPr>
        <w:t xml:space="preserve">4 </w:t>
      </w:r>
    </w:p>
    <w:p w:rsidR="000F7B92" w:rsidRDefault="000F7B92" w:rsidP="000F7B92">
      <w:pPr>
        <w:pStyle w:val="Default"/>
        <w:pageBreakBefore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– медицинские организации). 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 Лицо, поступающее на работу, вправе предоставить выписку из медицинской карты пациента, получающего медицинскую помощь в амбулаторных условиях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 Отказ несовершеннолетнего гражданина пройти предварительный медицинский осмотр при приеме на работу служит правомерным основанием для отказа в заключении с ним трудового договора. </w:t>
      </w:r>
      <w:r>
        <w:rPr>
          <w:b/>
          <w:bCs/>
          <w:sz w:val="23"/>
          <w:szCs w:val="23"/>
        </w:rPr>
        <w:t>Заключение срочного трудового договора с несовершеннолетним работником</w:t>
      </w:r>
      <w:r>
        <w:rPr>
          <w:sz w:val="23"/>
          <w:szCs w:val="23"/>
        </w:rPr>
        <w:t xml:space="preserve">. В соответствии с договором органов службы занятости и работодателем при трудоустройстве подростков заключается срочный трудовой договор в соответствии со статьей 59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РФ. Для составления трудового договора с несовершеннолетним работником можно использовать форму трудового договора, принятую в организации. Однако требуется учесть некоторые особенности трудового договора. Различаются даже условия приема на работу юношей и девушек в зависимости от уже исполнившегося им количества лет. Для работающих несовершеннолетних граждан статьями 92, 94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предусматривается сокращенное время работы. С учетом возраста продолжительность рабочей недели для несовершеннолетних работников может быть разной. Для работников в возрасте до 16 лет - не больше 24 часов и не больше 35 часов для работников от 16 до 18 лет. При этом продолжительность рабочего времени несовершеннолетних граждан, работающих в свободное от учебы время в течение учебного года, не может превышать половины указанной нормы, таким образом, еженедельно работа должна занимать до 12-ти и до 17,5 часов соответственно. При этом работодатель не вправе устанавливать продолжительность рабочего дня (смены) для несовершеннолетних более: 4 часов - для работников от 14 до 15 лет; 5 часов - для работников от 15 до 16 лет; 7 часов - для работников в возрасте от 16 до 18 лет. Ограничения по продолжительности труда в течение дня (смены) для несовершеннолетних сотрудников от 15 до 16 лет составляют не более 5 часов и не больше 7 часов для несовершеннолетних в возрасте от 16 до 18 лет. Для лиц, одновременно работающих и проходящих обучение, ежедневный труд не должен превышать 2,5 часов для занятых в возрасте от 14 до 16 лет и 4 часов в возрасте от 16 до 18 лет. </w:t>
      </w:r>
      <w:r>
        <w:rPr>
          <w:sz w:val="20"/>
          <w:szCs w:val="20"/>
        </w:rPr>
        <w:t xml:space="preserve">5 </w:t>
      </w:r>
    </w:p>
    <w:p w:rsidR="00807EC7" w:rsidRPr="00807EC7" w:rsidRDefault="000F7B92" w:rsidP="000F7B92">
      <w:pPr>
        <w:tabs>
          <w:tab w:val="left" w:pos="429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3"/>
          <w:szCs w:val="23"/>
        </w:rPr>
        <w:t>Как и в обычном трудовом договоре, заключаемом с взрослым человеком, в договоре с несовершеннолетним, должны быть зафиксированы обязательные и особые условия соглашения, а также распорядок работы несовершеннолетнего работника. Оплата труда несовершеннолетних работников производится исходя из отработанного ими времени (</w:t>
      </w:r>
      <w:proofErr w:type="gramStart"/>
      <w:r>
        <w:rPr>
          <w:sz w:val="23"/>
          <w:szCs w:val="23"/>
        </w:rPr>
        <w:t>выполненной</w:t>
      </w:r>
      <w:proofErr w:type="gramEnd"/>
      <w:r>
        <w:rPr>
          <w:sz w:val="23"/>
          <w:szCs w:val="23"/>
        </w:rPr>
        <w:t xml:space="preserve"> работы). Работодатель вправе, но не обязан производить доплату до </w:t>
      </w:r>
      <w:proofErr w:type="gramStart"/>
      <w:r>
        <w:rPr>
          <w:sz w:val="23"/>
          <w:szCs w:val="23"/>
        </w:rPr>
        <w:t>размера оплаты труда</w:t>
      </w:r>
      <w:proofErr w:type="gramEnd"/>
      <w:r>
        <w:rPr>
          <w:sz w:val="23"/>
          <w:szCs w:val="23"/>
        </w:rPr>
        <w:t xml:space="preserve">, который был бы начислен совершеннолетнему работнику при полной (нормальной) продолжительности рабочего времени. Трудовой договор заключается в письменной форме. Его составляют в двух экземплярах, каждый из которых подписывают стороны. Один экземпляр договора передается работнику, другой хранится у работодателя. На экземпляре, который остается у работодателя, работник должен оставить отметку и подпись, что он получил свой экземпляр трудового договора. </w:t>
      </w:r>
      <w:r>
        <w:rPr>
          <w:i/>
          <w:iCs/>
          <w:sz w:val="23"/>
          <w:szCs w:val="23"/>
        </w:rPr>
        <w:t xml:space="preserve">До подписания трудового договора несовершеннолетние работники должны в силу статьи 68 </w:t>
      </w:r>
      <w:proofErr w:type="spellStart"/>
      <w:r>
        <w:rPr>
          <w:i/>
          <w:iCs/>
          <w:sz w:val="23"/>
          <w:szCs w:val="23"/>
        </w:rPr>
        <w:t>ТК</w:t>
      </w:r>
      <w:proofErr w:type="spellEnd"/>
      <w:r>
        <w:rPr>
          <w:i/>
          <w:iCs/>
          <w:sz w:val="23"/>
          <w:szCs w:val="23"/>
        </w:rPr>
        <w:t xml:space="preserve"> РФ ознакомиться под подпись с правилами внутреннего трудового распорядка и иными локальными нормативными актами, связанными с их трудовой деятельностью. </w:t>
      </w:r>
      <w:r>
        <w:rPr>
          <w:b/>
          <w:bCs/>
          <w:sz w:val="23"/>
          <w:szCs w:val="23"/>
        </w:rPr>
        <w:t>Приказ о приеме на работу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соответствии со статьей 68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прием на работу оформляется приказом (распоряжением) работодателя, изданным на основании заключенного трудового договора. </w:t>
      </w:r>
      <w:r>
        <w:rPr>
          <w:i/>
          <w:iCs/>
          <w:sz w:val="23"/>
          <w:szCs w:val="23"/>
        </w:rPr>
        <w:lastRenderedPageBreak/>
        <w:t xml:space="preserve">Приказ о приеме на работу издается по унифицированной форме № Т-1 (утвержденной Постановлением Госкомстата России от 05 января 2004 г. № 1). </w:t>
      </w:r>
      <w:r>
        <w:rPr>
          <w:sz w:val="23"/>
          <w:szCs w:val="23"/>
        </w:rPr>
        <w:t xml:space="preserve">Содержание приказа (распоряжения) работодателя должно соответствовать условиям заключенного трудового договора. Приказ (распоряжение) работодателя о приеме на работу объявляется работнику под роспись в трехдневный срок со дня фактического начала работы.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 По требованию работника работодатель обязан выдать ему надлежаще заверенную копию указанного приказа (распоряжения). Работникам, заключившим трудовой договор на срок до двух месяцев, по общему правилу в соответствии со статьей 291 </w:t>
      </w:r>
      <w:proofErr w:type="spellStart"/>
      <w:r>
        <w:rPr>
          <w:sz w:val="23"/>
          <w:szCs w:val="23"/>
        </w:rPr>
        <w:t>ТК</w:t>
      </w:r>
      <w:proofErr w:type="spellEnd"/>
      <w:r>
        <w:rPr>
          <w:sz w:val="23"/>
          <w:szCs w:val="23"/>
        </w:rPr>
        <w:t xml:space="preserve"> РФ предоставляются оплачиваемые отпуска или выплачивается компенсация при увольнении из расчета два рабочих дня за месяц работы.</w:t>
      </w: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EC" w:rsidRDefault="00CB26EC">
      <w:pPr>
        <w:spacing w:after="0" w:line="240" w:lineRule="auto"/>
      </w:pPr>
      <w:r>
        <w:separator/>
      </w:r>
    </w:p>
  </w:endnote>
  <w:endnote w:type="continuationSeparator" w:id="0">
    <w:p w:rsidR="00CB26EC" w:rsidRDefault="00CB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EC" w:rsidRDefault="00CB26EC">
      <w:pPr>
        <w:spacing w:after="0" w:line="240" w:lineRule="auto"/>
      </w:pPr>
      <w:r>
        <w:separator/>
      </w:r>
    </w:p>
  </w:footnote>
  <w:footnote w:type="continuationSeparator" w:id="0">
    <w:p w:rsidR="00CB26EC" w:rsidRDefault="00CB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0F7B92">
      <w:rPr>
        <w:rStyle w:val="af0"/>
        <w:noProof/>
      </w:rPr>
      <w:t>6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95401"/>
    <w:multiLevelType w:val="hybridMultilevel"/>
    <w:tmpl w:val="D3ACA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B058B6"/>
    <w:multiLevelType w:val="hybridMultilevel"/>
    <w:tmpl w:val="120F3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0A794F"/>
    <w:multiLevelType w:val="hybridMultilevel"/>
    <w:tmpl w:val="1188B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8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1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2">
    <w:nsid w:val="2601DBD2"/>
    <w:multiLevelType w:val="hybridMultilevel"/>
    <w:tmpl w:val="DD0D0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4">
    <w:nsid w:val="32560142"/>
    <w:multiLevelType w:val="hybridMultilevel"/>
    <w:tmpl w:val="DC6D3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6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8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7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32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5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6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2"/>
  </w:num>
  <w:num w:numId="5">
    <w:abstractNumId w:val="37"/>
  </w:num>
  <w:num w:numId="6">
    <w:abstractNumId w:val="33"/>
  </w:num>
  <w:num w:numId="7">
    <w:abstractNumId w:val="24"/>
  </w:num>
  <w:num w:numId="8">
    <w:abstractNumId w:val="18"/>
  </w:num>
  <w:num w:numId="9">
    <w:abstractNumId w:val="20"/>
  </w:num>
  <w:num w:numId="10">
    <w:abstractNumId w:val="4"/>
  </w:num>
  <w:num w:numId="11">
    <w:abstractNumId w:val="8"/>
  </w:num>
  <w:num w:numId="12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7"/>
  </w:num>
  <w:num w:numId="21">
    <w:abstractNumId w:val="30"/>
  </w:num>
  <w:num w:numId="22">
    <w:abstractNumId w:val="27"/>
  </w:num>
  <w:num w:numId="23">
    <w:abstractNumId w:val="29"/>
  </w:num>
  <w:num w:numId="24">
    <w:abstractNumId w:val="36"/>
  </w:num>
  <w:num w:numId="25">
    <w:abstractNumId w:val="3"/>
  </w:num>
  <w:num w:numId="26">
    <w:abstractNumId w:val="9"/>
  </w:num>
  <w:num w:numId="27">
    <w:abstractNumId w:val="21"/>
  </w:num>
  <w:num w:numId="28">
    <w:abstractNumId w:val="28"/>
  </w:num>
  <w:num w:numId="29">
    <w:abstractNumId w:val="10"/>
  </w:num>
  <w:num w:numId="30">
    <w:abstractNumId w:val="34"/>
  </w:num>
  <w:num w:numId="31">
    <w:abstractNumId w:val="25"/>
  </w:num>
  <w:num w:numId="32">
    <w:abstractNumId w:val="22"/>
  </w:num>
  <w:num w:numId="33">
    <w:abstractNumId w:val="11"/>
  </w:num>
  <w:num w:numId="34">
    <w:abstractNumId w:val="7"/>
  </w:num>
  <w:num w:numId="35">
    <w:abstractNumId w:val="31"/>
  </w:num>
  <w:num w:numId="36">
    <w:abstractNumId w:val="26"/>
  </w:num>
  <w:num w:numId="37">
    <w:abstractNumId w:val="35"/>
  </w:num>
  <w:num w:numId="38">
    <w:abstractNumId w:val="15"/>
  </w:num>
  <w:num w:numId="39">
    <w:abstractNumId w:val="16"/>
  </w:num>
  <w:num w:numId="40">
    <w:abstractNumId w:val="0"/>
  </w:num>
  <w:num w:numId="41">
    <w:abstractNumId w:val="14"/>
  </w:num>
  <w:num w:numId="42">
    <w:abstractNumId w:val="12"/>
  </w:num>
  <w:num w:numId="43">
    <w:abstractNumId w:val="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0F7B92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227E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66FBB"/>
    <w:rsid w:val="00873C74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D544C9"/>
    <w:rsid w:val="00D55D04"/>
    <w:rsid w:val="00D850AE"/>
    <w:rsid w:val="00D85B92"/>
    <w:rsid w:val="00DA078B"/>
    <w:rsid w:val="00DA45CC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rsid w:val="00A27FBF"/>
  </w:style>
  <w:style w:type="paragraph" w:customStyle="1" w:styleId="23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0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124</cp:revision>
  <cp:lastPrinted>2022-05-06T09:46:00Z</cp:lastPrinted>
  <dcterms:created xsi:type="dcterms:W3CDTF">2019-02-05T10:30:00Z</dcterms:created>
  <dcterms:modified xsi:type="dcterms:W3CDTF">2025-05-05T12:18:00Z</dcterms:modified>
</cp:coreProperties>
</file>